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6B2D" w:rsidRDefault="008C5B26">
      <w:pPr>
        <w:jc w:val="center"/>
        <w:rPr>
          <w:rFonts w:ascii="Bookman Old Style" w:eastAsia="Bookman Old Style" w:hAnsi="Bookman Old Style" w:cs="Bookman Old Style"/>
          <w:b/>
          <w:sz w:val="22"/>
          <w:szCs w:val="22"/>
        </w:rPr>
      </w:pPr>
      <w:bookmarkStart w:id="0" w:name="_GoBack"/>
      <w:bookmarkEnd w:id="0"/>
      <w:r>
        <w:rPr>
          <w:rFonts w:ascii="Bookman Old Style" w:eastAsia="Bookman Old Style" w:hAnsi="Bookman Old Style" w:cs="Bookman Old Style"/>
          <w:b/>
          <w:sz w:val="22"/>
          <w:szCs w:val="22"/>
        </w:rPr>
        <w:t>INFORME DE PONENCIA PARA SEGUNDO DEBATE AL PROYECTO DE LEY NÚMERO 039 DE 2020 CÁMARA</w:t>
      </w:r>
    </w:p>
    <w:p w:rsidR="00506B2D" w:rsidRDefault="008C5B26">
      <w:pPr>
        <w:jc w:val="center"/>
        <w:rPr>
          <w:rFonts w:ascii="Bookman Old Style" w:eastAsia="Bookman Old Style" w:hAnsi="Bookman Old Style" w:cs="Bookman Old Style"/>
          <w:b/>
          <w:sz w:val="22"/>
          <w:szCs w:val="22"/>
        </w:rPr>
      </w:pPr>
      <w:r>
        <w:rPr>
          <w:rFonts w:ascii="Bookman Old Style" w:eastAsia="Bookman Old Style" w:hAnsi="Bookman Old Style" w:cs="Bookman Old Style"/>
          <w:sz w:val="22"/>
          <w:szCs w:val="22"/>
        </w:rPr>
        <w:t>“Por medio del cual se adiciona un parágrafo al artículo 91 de la Ley 1708 de 2014 y se regula la transferencia a título gratuito de los bienes con extinción de dominio ubicados en el Distrito Especial, Deportivo, Cultural, Turístico, Empresarial y de Serv</w:t>
      </w:r>
      <w:r>
        <w:rPr>
          <w:rFonts w:ascii="Bookman Old Style" w:eastAsia="Bookman Old Style" w:hAnsi="Bookman Old Style" w:cs="Bookman Old Style"/>
          <w:sz w:val="22"/>
          <w:szCs w:val="22"/>
        </w:rPr>
        <w:t>icios de Santiago de Cali”</w:t>
      </w:r>
    </w:p>
    <w:p w:rsidR="00506B2D" w:rsidRDefault="00506B2D">
      <w:pPr>
        <w:spacing w:line="360" w:lineRule="auto"/>
        <w:rPr>
          <w:rFonts w:ascii="Bookman Old Style" w:eastAsia="Bookman Old Style" w:hAnsi="Bookman Old Style" w:cs="Bookman Old Style"/>
          <w:b/>
          <w:sz w:val="22"/>
          <w:szCs w:val="22"/>
        </w:rPr>
      </w:pPr>
    </w:p>
    <w:p w:rsidR="00506B2D" w:rsidRDefault="00506B2D">
      <w:pPr>
        <w:spacing w:line="360" w:lineRule="auto"/>
        <w:rPr>
          <w:rFonts w:ascii="Bookman Old Style" w:eastAsia="Bookman Old Style" w:hAnsi="Bookman Old Style" w:cs="Bookman Old Style"/>
          <w:b/>
          <w:sz w:val="22"/>
          <w:szCs w:val="22"/>
        </w:rPr>
      </w:pPr>
    </w:p>
    <w:p w:rsidR="00506B2D" w:rsidRDefault="008C5B26">
      <w:pPr>
        <w:spacing w:line="360" w:lineRule="auto"/>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Bogotá, 28 de julio del 2021</w:t>
      </w:r>
    </w:p>
    <w:p w:rsidR="00506B2D" w:rsidRDefault="008C5B26">
      <w:pPr>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Honorable Representante</w:t>
      </w:r>
    </w:p>
    <w:p w:rsidR="00506B2D" w:rsidRDefault="008C5B26">
      <w:pPr>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JULIO CÉSAR TRIANA QUINTERO</w:t>
      </w:r>
    </w:p>
    <w:p w:rsidR="00506B2D" w:rsidRDefault="008C5B26">
      <w:pPr>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Presidente</w:t>
      </w:r>
    </w:p>
    <w:p w:rsidR="00506B2D" w:rsidRDefault="008C5B26">
      <w:pPr>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 xml:space="preserve">Comisión Primera Constitucional </w:t>
      </w:r>
    </w:p>
    <w:p w:rsidR="00506B2D" w:rsidRDefault="008C5B26">
      <w:pPr>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Cámara de Representantes</w:t>
      </w:r>
    </w:p>
    <w:p w:rsidR="00506B2D" w:rsidRDefault="008C5B26">
      <w:pPr>
        <w:spacing w:line="360" w:lineRule="auto"/>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Ciudad</w:t>
      </w:r>
    </w:p>
    <w:p w:rsidR="00506B2D" w:rsidRDefault="00506B2D">
      <w:pPr>
        <w:spacing w:after="120" w:line="360" w:lineRule="auto"/>
        <w:ind w:right="49"/>
        <w:jc w:val="right"/>
        <w:rPr>
          <w:rFonts w:ascii="Bookman Old Style" w:eastAsia="Bookman Old Style" w:hAnsi="Bookman Old Style" w:cs="Bookman Old Style"/>
          <w:b/>
          <w:color w:val="000000"/>
          <w:sz w:val="22"/>
          <w:szCs w:val="22"/>
        </w:rPr>
      </w:pPr>
    </w:p>
    <w:p w:rsidR="00506B2D" w:rsidRDefault="008C5B26">
      <w:pPr>
        <w:spacing w:after="120" w:line="360" w:lineRule="auto"/>
        <w:ind w:left="3540" w:right="49"/>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b/>
          <w:color w:val="000000"/>
          <w:sz w:val="22"/>
          <w:szCs w:val="22"/>
        </w:rPr>
        <w:t xml:space="preserve">Referencia: </w:t>
      </w:r>
      <w:r>
        <w:rPr>
          <w:rFonts w:ascii="Bookman Old Style" w:eastAsia="Bookman Old Style" w:hAnsi="Bookman Old Style" w:cs="Bookman Old Style"/>
          <w:color w:val="000000"/>
          <w:sz w:val="22"/>
          <w:szCs w:val="22"/>
        </w:rPr>
        <w:t>Informe de ponencia para segundo debate del Proyecto de l</w:t>
      </w:r>
      <w:r>
        <w:rPr>
          <w:rFonts w:ascii="Bookman Old Style" w:eastAsia="Bookman Old Style" w:hAnsi="Bookman Old Style" w:cs="Bookman Old Style"/>
          <w:color w:val="000000"/>
          <w:sz w:val="22"/>
          <w:szCs w:val="22"/>
        </w:rPr>
        <w:t>ey No 039 de 2020 Cámara.</w:t>
      </w:r>
    </w:p>
    <w:p w:rsidR="00506B2D" w:rsidRDefault="008C5B26">
      <w:pPr>
        <w:spacing w:after="120" w:line="360" w:lineRule="auto"/>
        <w:ind w:right="49"/>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Honorables Representantes:</w:t>
      </w:r>
    </w:p>
    <w:p w:rsidR="00506B2D" w:rsidRDefault="008C5B26">
      <w:pPr>
        <w:pBdr>
          <w:bottom w:val="single" w:sz="12" w:space="1" w:color="000000"/>
        </w:pBdr>
        <w:spacing w:line="360" w:lineRule="auto"/>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En cumplimiento del encargo recibido por parte de la honorable Mesa Directiva de la Comisión Primera de la Cámara de Representantes y de conformidad con lo establecido en el artículo 156 de la Ley 5ª de </w:t>
      </w:r>
      <w:r>
        <w:rPr>
          <w:rFonts w:ascii="Bookman Old Style" w:eastAsia="Bookman Old Style" w:hAnsi="Bookman Old Style" w:cs="Bookman Old Style"/>
          <w:sz w:val="22"/>
          <w:szCs w:val="22"/>
        </w:rPr>
        <w:t xml:space="preserve">1992, procedemos a rendir Informe de Ponencia positiva para segundo debate al Proyecto de Ley No 039 de 2020 Cámara </w:t>
      </w:r>
      <w:r>
        <w:rPr>
          <w:rFonts w:ascii="Bookman Old Style" w:eastAsia="Bookman Old Style" w:hAnsi="Bookman Old Style" w:cs="Bookman Old Style"/>
          <w:i/>
          <w:sz w:val="22"/>
          <w:szCs w:val="22"/>
        </w:rPr>
        <w:t>“Por medio del cual se adiciona un parágrafo al artículo 91 de la Ley 1708 de 2014 y se regula la transferencia a título gratuito de los bie</w:t>
      </w:r>
      <w:r>
        <w:rPr>
          <w:rFonts w:ascii="Bookman Old Style" w:eastAsia="Bookman Old Style" w:hAnsi="Bookman Old Style" w:cs="Bookman Old Style"/>
          <w:i/>
          <w:sz w:val="22"/>
          <w:szCs w:val="22"/>
        </w:rPr>
        <w:t xml:space="preserve">nes con extinción de dominio ubicados en el Distrito Especial, Deportivo, Cultural, Turístico, Empresarial y de Servicios de Santiago de Cali”, </w:t>
      </w:r>
      <w:r>
        <w:rPr>
          <w:rFonts w:ascii="Bookman Old Style" w:eastAsia="Bookman Old Style" w:hAnsi="Bookman Old Style" w:cs="Bookman Old Style"/>
          <w:sz w:val="22"/>
          <w:szCs w:val="22"/>
        </w:rPr>
        <w:t xml:space="preserve">con base en las siguientes consideraciones: </w:t>
      </w:r>
    </w:p>
    <w:p w:rsidR="00506B2D" w:rsidRDefault="00506B2D">
      <w:pPr>
        <w:pBdr>
          <w:bottom w:val="single" w:sz="12" w:space="1" w:color="000000"/>
        </w:pBdr>
        <w:spacing w:line="360" w:lineRule="auto"/>
        <w:jc w:val="both"/>
        <w:rPr>
          <w:rFonts w:ascii="Bookman Old Style" w:eastAsia="Bookman Old Style" w:hAnsi="Bookman Old Style" w:cs="Bookman Old Style"/>
          <w:b/>
          <w:sz w:val="22"/>
          <w:szCs w:val="22"/>
        </w:rPr>
      </w:pPr>
    </w:p>
    <w:p w:rsidR="00506B2D" w:rsidRDefault="00506B2D">
      <w:pPr>
        <w:spacing w:line="360" w:lineRule="auto"/>
        <w:jc w:val="both"/>
        <w:rPr>
          <w:rFonts w:ascii="Bookman Old Style" w:eastAsia="Bookman Old Style" w:hAnsi="Bookman Old Style" w:cs="Bookman Old Style"/>
          <w:i/>
          <w:color w:val="000000"/>
          <w:sz w:val="22"/>
          <w:szCs w:val="22"/>
        </w:rPr>
      </w:pPr>
    </w:p>
    <w:p w:rsidR="00506B2D" w:rsidRDefault="008C5B26">
      <w:pPr>
        <w:spacing w:line="360" w:lineRule="auto"/>
        <w:jc w:val="both"/>
        <w:rPr>
          <w:rFonts w:ascii="Bookman Old Style" w:eastAsia="Bookman Old Style" w:hAnsi="Bookman Old Style" w:cs="Bookman Old Style"/>
          <w:b/>
          <w:sz w:val="22"/>
          <w:szCs w:val="22"/>
        </w:rPr>
      </w:pPr>
      <w:r>
        <w:rPr>
          <w:rFonts w:ascii="Bookman Old Style" w:eastAsia="Bookman Old Style" w:hAnsi="Bookman Old Style" w:cs="Bookman Old Style"/>
          <w:b/>
          <w:color w:val="000000"/>
          <w:sz w:val="22"/>
          <w:szCs w:val="22"/>
        </w:rPr>
        <w:t>CONTENIDO.</w:t>
      </w:r>
    </w:p>
    <w:p w:rsidR="00506B2D" w:rsidRDefault="008C5B26">
      <w:pPr>
        <w:numPr>
          <w:ilvl w:val="0"/>
          <w:numId w:val="2"/>
        </w:numPr>
        <w:pBdr>
          <w:top w:val="nil"/>
          <w:left w:val="nil"/>
          <w:bottom w:val="nil"/>
          <w:right w:val="nil"/>
          <w:between w:val="nil"/>
        </w:pBdr>
        <w:spacing w:line="360" w:lineRule="auto"/>
        <w:ind w:right="115"/>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Trámite legislativo.</w:t>
      </w:r>
    </w:p>
    <w:p w:rsidR="00506B2D" w:rsidRDefault="008C5B26">
      <w:pPr>
        <w:numPr>
          <w:ilvl w:val="0"/>
          <w:numId w:val="2"/>
        </w:numPr>
        <w:pBdr>
          <w:top w:val="nil"/>
          <w:left w:val="nil"/>
          <w:bottom w:val="nil"/>
          <w:right w:val="nil"/>
          <w:between w:val="nil"/>
        </w:pBdr>
        <w:spacing w:line="360" w:lineRule="auto"/>
        <w:ind w:right="115"/>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Objeto del Proyecto de Ley.</w:t>
      </w:r>
    </w:p>
    <w:p w:rsidR="00506B2D" w:rsidRDefault="008C5B26">
      <w:pPr>
        <w:numPr>
          <w:ilvl w:val="0"/>
          <w:numId w:val="2"/>
        </w:numPr>
        <w:pBdr>
          <w:top w:val="nil"/>
          <w:left w:val="nil"/>
          <w:bottom w:val="nil"/>
          <w:right w:val="nil"/>
          <w:between w:val="nil"/>
        </w:pBdr>
        <w:spacing w:line="360" w:lineRule="auto"/>
        <w:ind w:right="115"/>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Problema que se pretende resolver.</w:t>
      </w:r>
    </w:p>
    <w:p w:rsidR="00506B2D" w:rsidRDefault="008C5B26">
      <w:pPr>
        <w:numPr>
          <w:ilvl w:val="0"/>
          <w:numId w:val="2"/>
        </w:numPr>
        <w:pBdr>
          <w:top w:val="nil"/>
          <w:left w:val="nil"/>
          <w:bottom w:val="nil"/>
          <w:right w:val="nil"/>
          <w:between w:val="nil"/>
        </w:pBdr>
        <w:spacing w:line="360" w:lineRule="auto"/>
        <w:ind w:right="115"/>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Antecedentes.</w:t>
      </w:r>
    </w:p>
    <w:p w:rsidR="00506B2D" w:rsidRDefault="008C5B26">
      <w:pPr>
        <w:numPr>
          <w:ilvl w:val="0"/>
          <w:numId w:val="2"/>
        </w:numPr>
        <w:pBdr>
          <w:top w:val="nil"/>
          <w:left w:val="nil"/>
          <w:bottom w:val="nil"/>
          <w:right w:val="nil"/>
          <w:between w:val="nil"/>
        </w:pBdr>
        <w:spacing w:line="360" w:lineRule="auto"/>
        <w:ind w:right="115"/>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lastRenderedPageBreak/>
        <w:t>Marco normativo.</w:t>
      </w:r>
    </w:p>
    <w:p w:rsidR="00506B2D" w:rsidRDefault="008C5B26">
      <w:pPr>
        <w:numPr>
          <w:ilvl w:val="1"/>
          <w:numId w:val="2"/>
        </w:numPr>
        <w:pBdr>
          <w:top w:val="nil"/>
          <w:left w:val="nil"/>
          <w:bottom w:val="nil"/>
          <w:right w:val="nil"/>
          <w:between w:val="nil"/>
        </w:pBdr>
        <w:spacing w:line="360" w:lineRule="auto"/>
        <w:ind w:right="115"/>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Relacionado con la Extinción de Dominio.</w:t>
      </w:r>
    </w:p>
    <w:p w:rsidR="00506B2D" w:rsidRDefault="008C5B26">
      <w:pPr>
        <w:numPr>
          <w:ilvl w:val="1"/>
          <w:numId w:val="2"/>
        </w:numPr>
        <w:pBdr>
          <w:top w:val="nil"/>
          <w:left w:val="nil"/>
          <w:bottom w:val="nil"/>
          <w:right w:val="nil"/>
          <w:between w:val="nil"/>
        </w:pBdr>
        <w:spacing w:line="360" w:lineRule="auto"/>
        <w:ind w:right="115"/>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Relacionado con la </w:t>
      </w:r>
      <w:r>
        <w:rPr>
          <w:rFonts w:ascii="Bookman Old Style" w:eastAsia="Bookman Old Style" w:hAnsi="Bookman Old Style" w:cs="Bookman Old Style"/>
          <w:sz w:val="22"/>
          <w:szCs w:val="22"/>
        </w:rPr>
        <w:t>cesión</w:t>
      </w:r>
      <w:r>
        <w:rPr>
          <w:rFonts w:ascii="Bookman Old Style" w:eastAsia="Bookman Old Style" w:hAnsi="Bookman Old Style" w:cs="Bookman Old Style"/>
          <w:color w:val="000000"/>
          <w:sz w:val="22"/>
          <w:szCs w:val="22"/>
        </w:rPr>
        <w:t xml:space="preserve"> a título gratuito y donación entre entidades públicas.</w:t>
      </w:r>
    </w:p>
    <w:p w:rsidR="00506B2D" w:rsidRDefault="008C5B26">
      <w:pPr>
        <w:numPr>
          <w:ilvl w:val="0"/>
          <w:numId w:val="2"/>
        </w:numPr>
        <w:pBdr>
          <w:top w:val="nil"/>
          <w:left w:val="nil"/>
          <w:bottom w:val="nil"/>
          <w:right w:val="nil"/>
          <w:between w:val="nil"/>
        </w:pBdr>
        <w:spacing w:line="360" w:lineRule="auto"/>
        <w:ind w:right="115"/>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Situación actual.</w:t>
      </w:r>
    </w:p>
    <w:p w:rsidR="00506B2D" w:rsidRDefault="008C5B26">
      <w:pPr>
        <w:numPr>
          <w:ilvl w:val="1"/>
          <w:numId w:val="2"/>
        </w:numPr>
        <w:pBdr>
          <w:top w:val="nil"/>
          <w:left w:val="nil"/>
          <w:bottom w:val="nil"/>
          <w:right w:val="nil"/>
          <w:between w:val="nil"/>
        </w:pBdr>
        <w:spacing w:line="360" w:lineRule="auto"/>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La geografía del narcotráfico. </w:t>
      </w:r>
    </w:p>
    <w:p w:rsidR="00506B2D" w:rsidRDefault="008C5B26">
      <w:pPr>
        <w:numPr>
          <w:ilvl w:val="1"/>
          <w:numId w:val="2"/>
        </w:numPr>
        <w:pBdr>
          <w:top w:val="nil"/>
          <w:left w:val="nil"/>
          <w:bottom w:val="nil"/>
          <w:right w:val="nil"/>
          <w:between w:val="nil"/>
        </w:pBdr>
        <w:spacing w:line="360" w:lineRule="auto"/>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Ubicación de los b</w:t>
      </w:r>
      <w:r>
        <w:rPr>
          <w:rFonts w:ascii="Bookman Old Style" w:eastAsia="Bookman Old Style" w:hAnsi="Bookman Old Style" w:cs="Bookman Old Style"/>
          <w:color w:val="000000"/>
          <w:sz w:val="22"/>
          <w:szCs w:val="22"/>
        </w:rPr>
        <w:t>ienes inmuebles extintos y en proceso de extinción de dominio.</w:t>
      </w:r>
    </w:p>
    <w:p w:rsidR="00506B2D" w:rsidRDefault="008C5B26">
      <w:pPr>
        <w:numPr>
          <w:ilvl w:val="1"/>
          <w:numId w:val="2"/>
        </w:numPr>
        <w:pBdr>
          <w:top w:val="nil"/>
          <w:left w:val="nil"/>
          <w:bottom w:val="nil"/>
          <w:right w:val="nil"/>
          <w:between w:val="nil"/>
        </w:pBdr>
        <w:spacing w:line="360" w:lineRule="auto"/>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Listado </w:t>
      </w:r>
      <w:r>
        <w:rPr>
          <w:rFonts w:ascii="Bookman Old Style" w:eastAsia="Bookman Old Style" w:hAnsi="Bookman Old Style" w:cs="Bookman Old Style"/>
          <w:sz w:val="22"/>
          <w:szCs w:val="22"/>
        </w:rPr>
        <w:t>de municipios</w:t>
      </w:r>
      <w:r>
        <w:rPr>
          <w:rFonts w:ascii="Bookman Old Style" w:eastAsia="Bookman Old Style" w:hAnsi="Bookman Old Style" w:cs="Bookman Old Style"/>
          <w:color w:val="000000"/>
          <w:sz w:val="22"/>
          <w:szCs w:val="22"/>
        </w:rPr>
        <w:t xml:space="preserve"> y distritos potencialmente beneficiarios del proyecto.</w:t>
      </w:r>
    </w:p>
    <w:p w:rsidR="00506B2D" w:rsidRDefault="008C5B26">
      <w:pPr>
        <w:numPr>
          <w:ilvl w:val="0"/>
          <w:numId w:val="2"/>
        </w:numPr>
        <w:pBdr>
          <w:top w:val="nil"/>
          <w:left w:val="nil"/>
          <w:bottom w:val="nil"/>
          <w:right w:val="nil"/>
          <w:between w:val="nil"/>
        </w:pBdr>
        <w:spacing w:line="360" w:lineRule="auto"/>
        <w:ind w:right="115"/>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Derecho comparado.</w:t>
      </w:r>
    </w:p>
    <w:p w:rsidR="00506B2D" w:rsidRDefault="008C5B26">
      <w:pPr>
        <w:numPr>
          <w:ilvl w:val="0"/>
          <w:numId w:val="2"/>
        </w:numPr>
        <w:pBdr>
          <w:top w:val="nil"/>
          <w:left w:val="nil"/>
          <w:bottom w:val="nil"/>
          <w:right w:val="nil"/>
          <w:between w:val="nil"/>
        </w:pBdr>
        <w:spacing w:line="360" w:lineRule="auto"/>
        <w:ind w:right="115"/>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Pliego de modificaciones</w:t>
      </w:r>
    </w:p>
    <w:p w:rsidR="00506B2D" w:rsidRDefault="008C5B26">
      <w:pPr>
        <w:numPr>
          <w:ilvl w:val="0"/>
          <w:numId w:val="2"/>
        </w:numPr>
        <w:pBdr>
          <w:top w:val="nil"/>
          <w:left w:val="nil"/>
          <w:bottom w:val="nil"/>
          <w:right w:val="nil"/>
          <w:between w:val="nil"/>
        </w:pBdr>
        <w:spacing w:line="360" w:lineRule="auto"/>
        <w:ind w:right="115"/>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Conflictos de interés.</w:t>
      </w:r>
    </w:p>
    <w:p w:rsidR="00506B2D" w:rsidRDefault="008C5B26">
      <w:pPr>
        <w:numPr>
          <w:ilvl w:val="0"/>
          <w:numId w:val="2"/>
        </w:numPr>
        <w:pBdr>
          <w:top w:val="nil"/>
          <w:left w:val="nil"/>
          <w:bottom w:val="nil"/>
          <w:right w:val="nil"/>
          <w:between w:val="nil"/>
        </w:pBdr>
        <w:spacing w:line="360" w:lineRule="auto"/>
        <w:ind w:right="115"/>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Proposición.</w:t>
      </w:r>
    </w:p>
    <w:p w:rsidR="00506B2D" w:rsidRDefault="008C5B26">
      <w:pPr>
        <w:numPr>
          <w:ilvl w:val="0"/>
          <w:numId w:val="2"/>
        </w:numPr>
        <w:pBdr>
          <w:top w:val="nil"/>
          <w:left w:val="nil"/>
          <w:bottom w:val="nil"/>
          <w:right w:val="nil"/>
          <w:between w:val="nil"/>
        </w:pBdr>
        <w:spacing w:line="360" w:lineRule="auto"/>
        <w:ind w:right="115"/>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Texto propuesto</w:t>
      </w:r>
    </w:p>
    <w:p w:rsidR="00506B2D" w:rsidRDefault="008C5B26">
      <w:pPr>
        <w:numPr>
          <w:ilvl w:val="0"/>
          <w:numId w:val="2"/>
        </w:numPr>
        <w:pBdr>
          <w:top w:val="nil"/>
          <w:left w:val="nil"/>
          <w:bottom w:val="nil"/>
          <w:right w:val="nil"/>
          <w:between w:val="nil"/>
        </w:pBdr>
        <w:spacing w:after="120" w:line="360" w:lineRule="auto"/>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Referencias.</w:t>
      </w:r>
      <w:r>
        <w:rPr>
          <w:rFonts w:ascii="Bookman Old Style" w:eastAsia="Bookman Old Style" w:hAnsi="Bookman Old Style" w:cs="Bookman Old Style"/>
          <w:color w:val="000000"/>
          <w:sz w:val="22"/>
          <w:szCs w:val="22"/>
        </w:rPr>
        <w:tab/>
      </w:r>
    </w:p>
    <w:p w:rsidR="00506B2D" w:rsidRDefault="008C5B26">
      <w:pPr>
        <w:widowControl w:val="0"/>
        <w:numPr>
          <w:ilvl w:val="0"/>
          <w:numId w:val="3"/>
        </w:numPr>
        <w:pBdr>
          <w:top w:val="nil"/>
          <w:left w:val="nil"/>
          <w:bottom w:val="nil"/>
          <w:right w:val="nil"/>
          <w:between w:val="nil"/>
        </w:pBdr>
        <w:spacing w:before="280" w:after="280" w:line="360" w:lineRule="auto"/>
        <w:jc w:val="both"/>
        <w:rPr>
          <w:rFonts w:ascii="Bookman Old Style" w:eastAsia="Bookman Old Style" w:hAnsi="Bookman Old Style" w:cs="Bookman Old Style"/>
          <w:b/>
          <w:color w:val="000000"/>
          <w:sz w:val="22"/>
          <w:szCs w:val="22"/>
        </w:rPr>
      </w:pPr>
      <w:r>
        <w:rPr>
          <w:rFonts w:ascii="Bookman Old Style" w:eastAsia="Bookman Old Style" w:hAnsi="Bookman Old Style" w:cs="Bookman Old Style"/>
          <w:b/>
          <w:color w:val="000000"/>
          <w:sz w:val="22"/>
          <w:szCs w:val="22"/>
        </w:rPr>
        <w:t xml:space="preserve">TRÁMITE </w:t>
      </w:r>
      <w:r>
        <w:rPr>
          <w:rFonts w:ascii="Bookman Old Style" w:eastAsia="Bookman Old Style" w:hAnsi="Bookman Old Style" w:cs="Bookman Old Style"/>
          <w:b/>
          <w:sz w:val="22"/>
          <w:szCs w:val="22"/>
        </w:rPr>
        <w:t>LEGISLATIVO</w:t>
      </w:r>
    </w:p>
    <w:p w:rsidR="00506B2D" w:rsidRDefault="008C5B26">
      <w:pPr>
        <w:widowControl w:val="0"/>
        <w:pBdr>
          <w:top w:val="nil"/>
          <w:left w:val="nil"/>
          <w:bottom w:val="nil"/>
          <w:right w:val="nil"/>
          <w:between w:val="nil"/>
        </w:pBdr>
        <w:spacing w:before="280" w:after="280"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El proyecto No 039 de 2020 Cámara, fue presentado por los HH. RR Juan Fernando Reyes Kuri y Catalina Ortiz Lalinde el día 20 de julio del 2020 ante la Secretaría General de la Cámara de Representantes y fue publicado en la gaceta número</w:t>
      </w:r>
      <w:r>
        <w:rPr>
          <w:rFonts w:ascii="Bookman Old Style" w:eastAsia="Bookman Old Style" w:hAnsi="Bookman Old Style" w:cs="Bookman Old Style"/>
          <w:sz w:val="22"/>
          <w:szCs w:val="22"/>
        </w:rPr>
        <w:t xml:space="preserve"> 644 el 10 de agosto del 2020. </w:t>
      </w:r>
    </w:p>
    <w:p w:rsidR="00506B2D" w:rsidRDefault="008C5B26">
      <w:pPr>
        <w:widowControl w:val="0"/>
        <w:pBdr>
          <w:top w:val="nil"/>
          <w:left w:val="nil"/>
          <w:bottom w:val="nil"/>
          <w:right w:val="nil"/>
          <w:between w:val="nil"/>
        </w:pBdr>
        <w:spacing w:before="280" w:after="280"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La Secretaría de Comisión Primera Constitucional comunicó el 27 de agosto del 2020 que de acuerdo con el Acta 05 de Mesa Directiva de la Comisión se designaron como ponentes a los siguientes Representantes: Juan Fernando Rey</w:t>
      </w:r>
      <w:r>
        <w:rPr>
          <w:rFonts w:ascii="Bookman Old Style" w:eastAsia="Bookman Old Style" w:hAnsi="Bookman Old Style" w:cs="Bookman Old Style"/>
          <w:sz w:val="22"/>
          <w:szCs w:val="22"/>
        </w:rPr>
        <w:t>es Kuri -C- John Jairo Hoyos García -C-. Álvaro Hernán Prada Artunduaga, Erwin Arias Betancur, José Gustavo Padilla Orozco, Juanita María Goebertus Estrada, Luis Alberto Alban Urbano, Carlos German Navas Talero, Angela María Robledo Gómez.</w:t>
      </w:r>
    </w:p>
    <w:p w:rsidR="00506B2D" w:rsidRDefault="008C5B26">
      <w:pPr>
        <w:widowControl w:val="0"/>
        <w:pBdr>
          <w:top w:val="nil"/>
          <w:left w:val="nil"/>
          <w:bottom w:val="nil"/>
          <w:right w:val="nil"/>
          <w:between w:val="nil"/>
        </w:pBdr>
        <w:spacing w:before="280" w:after="280"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El 04 de septiem</w:t>
      </w:r>
      <w:r>
        <w:rPr>
          <w:rFonts w:ascii="Bookman Old Style" w:eastAsia="Bookman Old Style" w:hAnsi="Bookman Old Style" w:cs="Bookman Old Style"/>
          <w:sz w:val="22"/>
          <w:szCs w:val="22"/>
        </w:rPr>
        <w:t xml:space="preserve">bre del 2020 se presentó, ante la Comisión Primera de la Cámara de Representantes, ponencia positiva para primer debate, publicada en la Gaceta </w:t>
      </w:r>
      <w:r>
        <w:rPr>
          <w:rFonts w:ascii="Bookman Old Style" w:eastAsia="Bookman Old Style" w:hAnsi="Bookman Old Style" w:cs="Bookman Old Style"/>
          <w:sz w:val="22"/>
          <w:szCs w:val="22"/>
        </w:rPr>
        <w:lastRenderedPageBreak/>
        <w:t xml:space="preserve">del Congreso número 879 de 2020. </w:t>
      </w:r>
    </w:p>
    <w:p w:rsidR="00506B2D" w:rsidRDefault="008C5B26">
      <w:pPr>
        <w:widowControl w:val="0"/>
        <w:pBdr>
          <w:top w:val="nil"/>
          <w:left w:val="nil"/>
          <w:bottom w:val="nil"/>
          <w:right w:val="nil"/>
          <w:between w:val="nil"/>
        </w:pBdr>
        <w:spacing w:before="280" w:after="280"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El miércoles 09 de junio de 2021, la ponencia fue sometida a consideración y d</w:t>
      </w:r>
      <w:r>
        <w:rPr>
          <w:rFonts w:ascii="Bookman Old Style" w:eastAsia="Bookman Old Style" w:hAnsi="Bookman Old Style" w:cs="Bookman Old Style"/>
          <w:sz w:val="22"/>
          <w:szCs w:val="22"/>
        </w:rPr>
        <w:t>iscusión de la Comisión Primera, así como las proposiciones, lo cual tuvo como resultado la aprobación de la ponencia positiva, como consta en el Acta No.52, de junio 09 de 2021.</w:t>
      </w:r>
    </w:p>
    <w:p w:rsidR="00506B2D" w:rsidRDefault="008C5B26">
      <w:pPr>
        <w:widowControl w:val="0"/>
        <w:pBdr>
          <w:top w:val="nil"/>
          <w:left w:val="nil"/>
          <w:bottom w:val="nil"/>
          <w:right w:val="nil"/>
          <w:between w:val="nil"/>
        </w:pBdr>
        <w:spacing w:before="280" w:after="280"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En el debate se presentó una proposición la cual fue aprobada por la Comisión</w:t>
      </w:r>
      <w:r>
        <w:rPr>
          <w:rFonts w:ascii="Bookman Old Style" w:eastAsia="Bookman Old Style" w:hAnsi="Bookman Old Style" w:cs="Bookman Old Style"/>
          <w:sz w:val="22"/>
          <w:szCs w:val="22"/>
        </w:rPr>
        <w:t xml:space="preserve"> y así se relaciona:</w:t>
      </w:r>
    </w:p>
    <w:p w:rsidR="00506B2D" w:rsidRDefault="008C5B26">
      <w:pPr>
        <w:pBdr>
          <w:top w:val="nil"/>
          <w:left w:val="nil"/>
          <w:bottom w:val="nil"/>
          <w:right w:val="nil"/>
          <w:between w:val="nil"/>
        </w:pBdr>
        <w:shd w:val="clear" w:color="auto" w:fill="FFFFFF"/>
        <w:jc w:val="center"/>
        <w:rPr>
          <w:rFonts w:ascii="Bookman Old Style" w:eastAsia="Bookman Old Style" w:hAnsi="Bookman Old Style" w:cs="Bookman Old Style"/>
          <w:b/>
          <w:color w:val="000000"/>
          <w:sz w:val="22"/>
          <w:szCs w:val="22"/>
        </w:rPr>
      </w:pPr>
      <w:r>
        <w:rPr>
          <w:rFonts w:ascii="Bookman Old Style" w:eastAsia="Bookman Old Style" w:hAnsi="Bookman Old Style" w:cs="Bookman Old Style"/>
          <w:b/>
          <w:color w:val="000000"/>
          <w:sz w:val="22"/>
          <w:szCs w:val="22"/>
        </w:rPr>
        <w:t>CUADRO DE PROPOSICIONES PRESENTADAS EN</w:t>
      </w:r>
    </w:p>
    <w:p w:rsidR="00506B2D" w:rsidRDefault="008C5B26">
      <w:pPr>
        <w:pBdr>
          <w:top w:val="nil"/>
          <w:left w:val="nil"/>
          <w:bottom w:val="nil"/>
          <w:right w:val="nil"/>
          <w:between w:val="nil"/>
        </w:pBdr>
        <w:shd w:val="clear" w:color="auto" w:fill="FFFFFF"/>
        <w:jc w:val="center"/>
        <w:rPr>
          <w:rFonts w:ascii="Bookman Old Style" w:eastAsia="Bookman Old Style" w:hAnsi="Bookman Old Style" w:cs="Bookman Old Style"/>
          <w:b/>
          <w:color w:val="000000"/>
          <w:sz w:val="22"/>
          <w:szCs w:val="22"/>
        </w:rPr>
      </w:pPr>
      <w:r>
        <w:rPr>
          <w:rFonts w:ascii="Bookman Old Style" w:eastAsia="Bookman Old Style" w:hAnsi="Bookman Old Style" w:cs="Bookman Old Style"/>
          <w:b/>
          <w:color w:val="000000"/>
          <w:sz w:val="22"/>
          <w:szCs w:val="22"/>
        </w:rPr>
        <w:t xml:space="preserve">PRIMER DEBATE </w:t>
      </w:r>
    </w:p>
    <w:p w:rsidR="00506B2D" w:rsidRDefault="00506B2D">
      <w:pPr>
        <w:pBdr>
          <w:top w:val="nil"/>
          <w:left w:val="nil"/>
          <w:bottom w:val="nil"/>
          <w:right w:val="nil"/>
          <w:between w:val="nil"/>
        </w:pBdr>
        <w:shd w:val="clear" w:color="auto" w:fill="FFFFFF"/>
        <w:jc w:val="center"/>
        <w:rPr>
          <w:rFonts w:ascii="Bookman Old Style" w:eastAsia="Bookman Old Style" w:hAnsi="Bookman Old Style" w:cs="Bookman Old Style"/>
          <w:b/>
          <w:color w:val="000000"/>
          <w:sz w:val="22"/>
          <w:szCs w:val="22"/>
        </w:rPr>
      </w:pPr>
    </w:p>
    <w:tbl>
      <w:tblPr>
        <w:tblStyle w:val="a"/>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50"/>
        <w:gridCol w:w="3376"/>
        <w:gridCol w:w="3002"/>
      </w:tblGrid>
      <w:tr w:rsidR="00506B2D">
        <w:trPr>
          <w:trHeight w:val="312"/>
        </w:trPr>
        <w:tc>
          <w:tcPr>
            <w:tcW w:w="2450" w:type="dxa"/>
          </w:tcPr>
          <w:p w:rsidR="00506B2D" w:rsidRDefault="008C5B26">
            <w:pPr>
              <w:widowControl w:val="0"/>
              <w:spacing w:after="280"/>
              <w:jc w:val="center"/>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PROPOSICIÓN</w:t>
            </w:r>
          </w:p>
        </w:tc>
        <w:tc>
          <w:tcPr>
            <w:tcW w:w="3376" w:type="dxa"/>
          </w:tcPr>
          <w:p w:rsidR="00506B2D" w:rsidRDefault="008C5B26">
            <w:pPr>
              <w:widowControl w:val="0"/>
              <w:spacing w:after="280"/>
              <w:jc w:val="center"/>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PRESENTADO POR</w:t>
            </w:r>
          </w:p>
        </w:tc>
        <w:tc>
          <w:tcPr>
            <w:tcW w:w="3002" w:type="dxa"/>
          </w:tcPr>
          <w:p w:rsidR="00506B2D" w:rsidRDefault="008C5B26">
            <w:pPr>
              <w:widowControl w:val="0"/>
              <w:spacing w:after="280"/>
              <w:jc w:val="center"/>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OBSERVACIONES</w:t>
            </w:r>
          </w:p>
        </w:tc>
      </w:tr>
      <w:tr w:rsidR="00506B2D">
        <w:trPr>
          <w:trHeight w:val="312"/>
        </w:trPr>
        <w:tc>
          <w:tcPr>
            <w:tcW w:w="2450" w:type="dxa"/>
          </w:tcPr>
          <w:p w:rsidR="00506B2D" w:rsidRDefault="008C5B26">
            <w:pPr>
              <w:widowControl w:val="0"/>
              <w:jc w:val="both"/>
              <w:rPr>
                <w:rFonts w:ascii="Bookman Old Style" w:eastAsia="Bookman Old Style" w:hAnsi="Bookman Old Style" w:cs="Bookman Old Style"/>
                <w:b/>
                <w:sz w:val="22"/>
                <w:szCs w:val="22"/>
                <w:u w:val="single"/>
              </w:rPr>
            </w:pPr>
            <w:r>
              <w:rPr>
                <w:rFonts w:ascii="Bookman Old Style" w:eastAsia="Bookman Old Style" w:hAnsi="Bookman Old Style" w:cs="Bookman Old Style"/>
                <w:b/>
                <w:sz w:val="22"/>
                <w:szCs w:val="22"/>
                <w:u w:val="single"/>
              </w:rPr>
              <w:t>DE ARCHIVO AL PROYECTO</w:t>
            </w:r>
          </w:p>
        </w:tc>
        <w:tc>
          <w:tcPr>
            <w:tcW w:w="3376" w:type="dxa"/>
          </w:tcPr>
          <w:p w:rsidR="00506B2D" w:rsidRDefault="008C5B26">
            <w:pPr>
              <w:widowControl w:val="0"/>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 xml:space="preserve">H.R GERMAN NAVAS TALERO </w:t>
            </w:r>
          </w:p>
        </w:tc>
        <w:tc>
          <w:tcPr>
            <w:tcW w:w="3002" w:type="dxa"/>
          </w:tcPr>
          <w:p w:rsidR="00506B2D" w:rsidRDefault="008C5B26">
            <w:pPr>
              <w:widowControl w:val="0"/>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Se retiró la proposición.</w:t>
            </w:r>
          </w:p>
        </w:tc>
      </w:tr>
      <w:tr w:rsidR="00506B2D">
        <w:tc>
          <w:tcPr>
            <w:tcW w:w="2450" w:type="dxa"/>
          </w:tcPr>
          <w:p w:rsidR="00506B2D" w:rsidRDefault="008C5B26">
            <w:pPr>
              <w:widowControl w:val="0"/>
              <w:spacing w:after="280" w:line="276" w:lineRule="auto"/>
              <w:jc w:val="both"/>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ARTÍCULO NUEVO.</w:t>
            </w:r>
            <w:r>
              <w:rPr>
                <w:rFonts w:ascii="Bookman Old Style" w:eastAsia="Bookman Old Style" w:hAnsi="Bookman Old Style" w:cs="Bookman Old Style"/>
                <w:sz w:val="22"/>
                <w:szCs w:val="22"/>
              </w:rPr>
              <w:t xml:space="preserve"> Adiciónese un parágrafo transitorio al artículo 91 de la Ley 1708 de 2014 “Por la cual se expide el Código Nacional de Extinción de Dominio” modificada por el artículo 22 de la Ley 1849 de 2017, el cual quedará así:</w:t>
            </w:r>
          </w:p>
          <w:p w:rsidR="00506B2D" w:rsidRDefault="008C5B26">
            <w:pPr>
              <w:widowControl w:val="0"/>
              <w:spacing w:after="280" w:line="276" w:lineRule="auto"/>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“Parágrafo Transitorio: A partir del mo</w:t>
            </w:r>
            <w:r>
              <w:rPr>
                <w:rFonts w:ascii="Bookman Old Style" w:eastAsia="Bookman Old Style" w:hAnsi="Bookman Old Style" w:cs="Bookman Old Style"/>
                <w:sz w:val="22"/>
                <w:szCs w:val="22"/>
              </w:rPr>
              <w:t xml:space="preserve">mento en que las autoridades competentes declaren la extinción de dominio de las acciones tipo C correspondientes al 82.16% en la </w:t>
            </w:r>
            <w:r>
              <w:rPr>
                <w:rFonts w:ascii="Bookman Old Style" w:eastAsia="Bookman Old Style" w:hAnsi="Bookman Old Style" w:cs="Bookman Old Style"/>
                <w:sz w:val="22"/>
                <w:szCs w:val="22"/>
              </w:rPr>
              <w:lastRenderedPageBreak/>
              <w:t>Sociedad Triple A E.S.P., estas serán transferidas a título gratuito al Distrito Especial, Industrial y Portuario de Barranqui</w:t>
            </w:r>
            <w:r>
              <w:rPr>
                <w:rFonts w:ascii="Bookman Old Style" w:eastAsia="Bookman Old Style" w:hAnsi="Bookman Old Style" w:cs="Bookman Old Style"/>
                <w:sz w:val="22"/>
                <w:szCs w:val="22"/>
              </w:rPr>
              <w:t>lla. A esta transferencia no se imputarán a los porcentajes específicos de destinación contemplados en el artículo 91 de la Ley 1708 de 2014 o de las que modifiquen o complementen.”</w:t>
            </w:r>
          </w:p>
          <w:p w:rsidR="00506B2D" w:rsidRDefault="00506B2D">
            <w:pPr>
              <w:widowControl w:val="0"/>
              <w:spacing w:after="280" w:line="276" w:lineRule="auto"/>
              <w:jc w:val="both"/>
              <w:rPr>
                <w:rFonts w:ascii="Bookman Old Style" w:eastAsia="Bookman Old Style" w:hAnsi="Bookman Old Style" w:cs="Bookman Old Style"/>
                <w:sz w:val="22"/>
                <w:szCs w:val="22"/>
              </w:rPr>
            </w:pPr>
          </w:p>
        </w:tc>
        <w:tc>
          <w:tcPr>
            <w:tcW w:w="3376" w:type="dxa"/>
          </w:tcPr>
          <w:p w:rsidR="00506B2D" w:rsidRDefault="008C5B26">
            <w:pPr>
              <w:widowControl w:val="0"/>
              <w:spacing w:after="280" w:line="276" w:lineRule="auto"/>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lastRenderedPageBreak/>
              <w:t>H.R CÉSAR AUGUSTO LORDUY MALDONADO</w:t>
            </w:r>
          </w:p>
        </w:tc>
        <w:tc>
          <w:tcPr>
            <w:tcW w:w="3002" w:type="dxa"/>
          </w:tcPr>
          <w:p w:rsidR="00506B2D" w:rsidRDefault="008C5B26">
            <w:pPr>
              <w:widowControl w:val="0"/>
              <w:spacing w:after="280" w:line="276" w:lineRule="auto"/>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Proposición aprobada por la Comisión Primera. </w:t>
            </w:r>
          </w:p>
        </w:tc>
      </w:tr>
    </w:tbl>
    <w:p w:rsidR="00506B2D" w:rsidRDefault="008C5B26">
      <w:pPr>
        <w:widowControl w:val="0"/>
        <w:numPr>
          <w:ilvl w:val="0"/>
          <w:numId w:val="3"/>
        </w:numPr>
        <w:pBdr>
          <w:top w:val="nil"/>
          <w:left w:val="nil"/>
          <w:bottom w:val="nil"/>
          <w:right w:val="nil"/>
          <w:between w:val="nil"/>
        </w:pBdr>
        <w:spacing w:before="280" w:after="280" w:line="360" w:lineRule="auto"/>
        <w:ind w:left="142"/>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b/>
          <w:color w:val="000000"/>
          <w:sz w:val="22"/>
          <w:szCs w:val="22"/>
        </w:rPr>
        <w:lastRenderedPageBreak/>
        <w:t>OBJETO DEL PROYECTO DE LEY</w:t>
      </w:r>
    </w:p>
    <w:p w:rsidR="00506B2D" w:rsidRDefault="008C5B26">
      <w:pPr>
        <w:widowControl w:val="0"/>
        <w:pBdr>
          <w:top w:val="nil"/>
          <w:left w:val="nil"/>
          <w:bottom w:val="nil"/>
          <w:right w:val="nil"/>
          <w:between w:val="nil"/>
        </w:pBdr>
        <w:spacing w:before="280" w:after="280" w:line="360" w:lineRule="auto"/>
        <w:ind w:left="-218"/>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El presente proyecto de Ley tiene como objetivos permitir y regular la transferencia a título gratuito de los bienes con sentencia de extinción de dominio ubicados en las distintas entidades territoriales municipales y distritales para que, a través de la </w:t>
      </w:r>
      <w:r>
        <w:rPr>
          <w:rFonts w:ascii="Bookman Old Style" w:eastAsia="Bookman Old Style" w:hAnsi="Bookman Old Style" w:cs="Bookman Old Style"/>
          <w:sz w:val="22"/>
          <w:szCs w:val="22"/>
        </w:rPr>
        <w:t xml:space="preserve">destinación especial de estos, se atienda programas estratégicos de educación, cultura, ecoturismo y deporte como medida de reparación colectiva ante las consecuencias del narcotráfico en los territorios. </w:t>
      </w:r>
    </w:p>
    <w:p w:rsidR="00506B2D" w:rsidRDefault="008C5B26">
      <w:pPr>
        <w:widowControl w:val="0"/>
        <w:numPr>
          <w:ilvl w:val="0"/>
          <w:numId w:val="3"/>
        </w:numPr>
        <w:pBdr>
          <w:top w:val="nil"/>
          <w:left w:val="nil"/>
          <w:bottom w:val="nil"/>
          <w:right w:val="nil"/>
          <w:between w:val="nil"/>
        </w:pBdr>
        <w:spacing w:before="280" w:after="280" w:line="360" w:lineRule="auto"/>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b/>
          <w:color w:val="000000"/>
          <w:sz w:val="22"/>
          <w:szCs w:val="22"/>
        </w:rPr>
        <w:t>PROBLEMA QUE SE PRETENDE RESOLVER</w:t>
      </w:r>
    </w:p>
    <w:p w:rsidR="00506B2D" w:rsidRDefault="008C5B26">
      <w:pPr>
        <w:widowControl w:val="0"/>
        <w:pBdr>
          <w:top w:val="nil"/>
          <w:left w:val="nil"/>
          <w:bottom w:val="nil"/>
          <w:right w:val="nil"/>
          <w:between w:val="nil"/>
        </w:pBdr>
        <w:spacing w:before="280" w:after="280"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La normatividad vigente relacionada con la extinción de dominio y la donación de bienes entre entidades públicas, no atienden integralmente la posibilidad que tienen los municipios y distritos, con bienes inmuebles extintos ubicados en su territorialidad, </w:t>
      </w:r>
      <w:r>
        <w:rPr>
          <w:rFonts w:ascii="Bookman Old Style" w:eastAsia="Bookman Old Style" w:hAnsi="Bookman Old Style" w:cs="Bookman Old Style"/>
          <w:sz w:val="22"/>
          <w:szCs w:val="22"/>
        </w:rPr>
        <w:t xml:space="preserve">de realizar adaptaciones y destinaciones de estos bienes para atender proyectos de salud, cultura, deporte, educación o turismo. </w:t>
      </w:r>
    </w:p>
    <w:p w:rsidR="00506B2D" w:rsidRDefault="008C5B26">
      <w:pPr>
        <w:widowControl w:val="0"/>
        <w:pBdr>
          <w:top w:val="nil"/>
          <w:left w:val="nil"/>
          <w:bottom w:val="nil"/>
          <w:right w:val="nil"/>
          <w:between w:val="nil"/>
        </w:pBdr>
        <w:spacing w:before="280" w:after="280"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lastRenderedPageBreak/>
        <w:t>Adicionalmente, la normatividad vigente no contempla medidas de reparación colectiva para todas las comunidades de entidades t</w:t>
      </w:r>
      <w:r>
        <w:rPr>
          <w:rFonts w:ascii="Bookman Old Style" w:eastAsia="Bookman Old Style" w:hAnsi="Bookman Old Style" w:cs="Bookman Old Style"/>
          <w:sz w:val="22"/>
          <w:szCs w:val="22"/>
        </w:rPr>
        <w:t>erritoriales que han sufrido al narcotráfico, a través de una de sus últimas cadenas, el lavado de activos. La falta de un enfoque territorial y de reparación en la política de administración y venta de los bienes extintos al narcotráfico, ha puesto por en</w:t>
      </w:r>
      <w:r>
        <w:rPr>
          <w:rFonts w:ascii="Bookman Old Style" w:eastAsia="Bookman Old Style" w:hAnsi="Bookman Old Style" w:cs="Bookman Old Style"/>
          <w:sz w:val="22"/>
          <w:szCs w:val="22"/>
        </w:rPr>
        <w:t xml:space="preserve">cima de la balanza el interés económico del producto de las ventas de estos bienes, sobre la posibilidad social y económica, de brindarle estos bienes a las entidades territoriales para atender sus necesidades básicas en infraestructura. </w:t>
      </w:r>
    </w:p>
    <w:p w:rsidR="00506B2D" w:rsidRDefault="008C5B26">
      <w:pPr>
        <w:widowControl w:val="0"/>
        <w:pBdr>
          <w:top w:val="nil"/>
          <w:left w:val="nil"/>
          <w:bottom w:val="nil"/>
          <w:right w:val="nil"/>
          <w:between w:val="nil"/>
        </w:pBdr>
        <w:spacing w:before="280" w:after="280"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Por un lado, la L</w:t>
      </w:r>
      <w:r>
        <w:rPr>
          <w:rFonts w:ascii="Bookman Old Style" w:eastAsia="Bookman Old Style" w:hAnsi="Bookman Old Style" w:cs="Bookman Old Style"/>
          <w:sz w:val="22"/>
          <w:szCs w:val="22"/>
        </w:rPr>
        <w:t>ey 1551 del 2012 que en su artículo 48 establece:</w:t>
      </w:r>
    </w:p>
    <w:p w:rsidR="00506B2D" w:rsidRDefault="008C5B26">
      <w:pPr>
        <w:widowControl w:val="0"/>
        <w:pBdr>
          <w:top w:val="nil"/>
          <w:left w:val="nil"/>
          <w:bottom w:val="nil"/>
          <w:right w:val="nil"/>
          <w:between w:val="nil"/>
        </w:pBdr>
        <w:spacing w:before="280" w:after="280" w:line="360" w:lineRule="auto"/>
        <w:ind w:left="708"/>
        <w:jc w:val="both"/>
        <w:rPr>
          <w:rFonts w:ascii="Bookman Old Style" w:eastAsia="Bookman Old Style" w:hAnsi="Bookman Old Style" w:cs="Bookman Old Style"/>
          <w:i/>
          <w:sz w:val="22"/>
          <w:szCs w:val="22"/>
        </w:rPr>
      </w:pPr>
      <w:r>
        <w:rPr>
          <w:rFonts w:ascii="Bookman Old Style" w:eastAsia="Bookman Old Style" w:hAnsi="Bookman Old Style" w:cs="Bookman Old Style"/>
          <w:i/>
          <w:sz w:val="22"/>
          <w:szCs w:val="22"/>
        </w:rPr>
        <w:t>“Las entidades públicas del orden nacional deberán ceder mediante resolución administrativa a título gratuito a las entidades del orden municipal o distrital en las cuales se hallen ubicados los bienes o lo</w:t>
      </w:r>
      <w:r>
        <w:rPr>
          <w:rFonts w:ascii="Bookman Old Style" w:eastAsia="Bookman Old Style" w:hAnsi="Bookman Old Style" w:cs="Bookman Old Style"/>
          <w:i/>
          <w:sz w:val="22"/>
          <w:szCs w:val="22"/>
        </w:rPr>
        <w:t>s terrenos de su propiedad, que actualmente estén destinados o tengan vocación de uso público o zonas de cesión.”.</w:t>
      </w:r>
    </w:p>
    <w:p w:rsidR="00506B2D" w:rsidRDefault="008C5B26">
      <w:pPr>
        <w:widowControl w:val="0"/>
        <w:pBdr>
          <w:top w:val="nil"/>
          <w:left w:val="nil"/>
          <w:bottom w:val="nil"/>
          <w:right w:val="nil"/>
          <w:between w:val="nil"/>
        </w:pBdr>
        <w:spacing w:before="280" w:after="280"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Bajo la óptica de esta disposición normativa no existe, en primer lugar, una indicación taxativa sobre la posibilidad de cesión a título grat</w:t>
      </w:r>
      <w:r>
        <w:rPr>
          <w:rFonts w:ascii="Bookman Old Style" w:eastAsia="Bookman Old Style" w:hAnsi="Bookman Old Style" w:cs="Bookman Old Style"/>
          <w:sz w:val="22"/>
          <w:szCs w:val="22"/>
        </w:rPr>
        <w:t xml:space="preserve">uito de los bienes que han sido objeto de sentencia de extinción de dominio. Simultáneamente, la posibilidad está reservada a la destinación o vocación de uso público o zonas de cesión. Ante estas dos circunstancias, y al no ser posible una interpretación </w:t>
      </w:r>
      <w:r>
        <w:rPr>
          <w:rFonts w:ascii="Bookman Old Style" w:eastAsia="Bookman Old Style" w:hAnsi="Bookman Old Style" w:cs="Bookman Old Style"/>
          <w:sz w:val="22"/>
          <w:szCs w:val="22"/>
        </w:rPr>
        <w:t xml:space="preserve">diferente, el artículo 48 precitado, no ofrece solución a la problemática actual planteada para los municipios y distritos. </w:t>
      </w:r>
    </w:p>
    <w:p w:rsidR="00506B2D" w:rsidRDefault="008C5B26">
      <w:pPr>
        <w:widowControl w:val="0"/>
        <w:pBdr>
          <w:top w:val="nil"/>
          <w:left w:val="nil"/>
          <w:bottom w:val="nil"/>
          <w:right w:val="nil"/>
          <w:between w:val="nil"/>
        </w:pBdr>
        <w:spacing w:before="280" w:after="280"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En segundo lugar, encontramos el Decreto 1068 del 2015 el cual establece: </w:t>
      </w:r>
    </w:p>
    <w:p w:rsidR="00506B2D" w:rsidRDefault="008C5B26">
      <w:pPr>
        <w:widowControl w:val="0"/>
        <w:pBdr>
          <w:top w:val="nil"/>
          <w:left w:val="nil"/>
          <w:bottom w:val="nil"/>
          <w:right w:val="nil"/>
          <w:between w:val="nil"/>
        </w:pBdr>
        <w:spacing w:before="280" w:after="280" w:line="360" w:lineRule="auto"/>
        <w:ind w:left="708"/>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“ARTÍCULO       2.5.5.8.1. La donación entre entidades p</w:t>
      </w:r>
      <w:r>
        <w:rPr>
          <w:rFonts w:ascii="Bookman Old Style" w:eastAsia="Bookman Old Style" w:hAnsi="Bookman Old Style" w:cs="Bookman Old Style"/>
          <w:sz w:val="22"/>
          <w:szCs w:val="22"/>
        </w:rPr>
        <w:t xml:space="preserve">úblicas procederá siempre y cuando puedan asignarse a los porcentajes señalados en el artículo 91 de la Ley 1708 de 2014, sobre los bienes a los cuales se les haya decretado mediante sentencia judicial debidamente ejecutoriada, la extinción de dominio del </w:t>
      </w:r>
      <w:r>
        <w:rPr>
          <w:rFonts w:ascii="Bookman Old Style" w:eastAsia="Bookman Old Style" w:hAnsi="Bookman Old Style" w:cs="Bookman Old Style"/>
          <w:sz w:val="22"/>
          <w:szCs w:val="22"/>
        </w:rPr>
        <w:t xml:space="preserve">100% del bien a favor del Frisco, de conformidad con las reglas establecidas en el presente capítulo.” </w:t>
      </w:r>
    </w:p>
    <w:p w:rsidR="00506B2D" w:rsidRDefault="008C5B26">
      <w:pPr>
        <w:widowControl w:val="0"/>
        <w:pBdr>
          <w:top w:val="nil"/>
          <w:left w:val="nil"/>
          <w:bottom w:val="nil"/>
          <w:right w:val="nil"/>
          <w:between w:val="nil"/>
        </w:pBdr>
        <w:spacing w:before="280" w:after="280"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lastRenderedPageBreak/>
        <w:t>Adicionalmente, establece una serie de criterios para la procedencia de la donación, de los cuales debe decirse, son un obstáculo para que las entidades territoriales adquieran los bienes. Así están enunciados:</w:t>
      </w:r>
    </w:p>
    <w:p w:rsidR="00506B2D" w:rsidRDefault="008C5B26">
      <w:pPr>
        <w:widowControl w:val="0"/>
        <w:pBdr>
          <w:top w:val="nil"/>
          <w:left w:val="nil"/>
          <w:bottom w:val="nil"/>
          <w:right w:val="nil"/>
          <w:between w:val="nil"/>
        </w:pBdr>
        <w:spacing w:before="280" w:after="280" w:line="360" w:lineRule="auto"/>
        <w:ind w:left="567"/>
        <w:jc w:val="both"/>
        <w:rPr>
          <w:rFonts w:ascii="Bookman Old Style" w:eastAsia="Bookman Old Style" w:hAnsi="Bookman Old Style" w:cs="Bookman Old Style"/>
          <w:i/>
          <w:sz w:val="22"/>
          <w:szCs w:val="22"/>
        </w:rPr>
      </w:pPr>
      <w:r>
        <w:rPr>
          <w:rFonts w:ascii="Bookman Old Style" w:eastAsia="Bookman Old Style" w:hAnsi="Bookman Old Style" w:cs="Bookman Old Style"/>
          <w:sz w:val="22"/>
          <w:szCs w:val="22"/>
        </w:rPr>
        <w:t xml:space="preserve"> “</w:t>
      </w:r>
      <w:r>
        <w:rPr>
          <w:rFonts w:ascii="Bookman Old Style" w:eastAsia="Bookman Old Style" w:hAnsi="Bookman Old Style" w:cs="Bookman Old Style"/>
          <w:i/>
          <w:sz w:val="22"/>
          <w:szCs w:val="22"/>
        </w:rPr>
        <w:t>Artículo 2.5.5.8.2. Criterios para la proce</w:t>
      </w:r>
      <w:r>
        <w:rPr>
          <w:rFonts w:ascii="Bookman Old Style" w:eastAsia="Bookman Old Style" w:hAnsi="Bookman Old Style" w:cs="Bookman Old Style"/>
          <w:i/>
          <w:sz w:val="22"/>
          <w:szCs w:val="22"/>
        </w:rPr>
        <w:t xml:space="preserve">dencia de la donación. La entidad pública interesada en la donación del bien solicitado deberá elaborar un proyecto que establezca:  </w:t>
      </w:r>
    </w:p>
    <w:p w:rsidR="00506B2D" w:rsidRDefault="008C5B26">
      <w:pPr>
        <w:widowControl w:val="0"/>
        <w:pBdr>
          <w:top w:val="nil"/>
          <w:left w:val="nil"/>
          <w:bottom w:val="nil"/>
          <w:right w:val="nil"/>
          <w:between w:val="nil"/>
        </w:pBdr>
        <w:spacing w:before="280" w:after="280" w:line="360" w:lineRule="auto"/>
        <w:ind w:left="567"/>
        <w:jc w:val="both"/>
        <w:rPr>
          <w:rFonts w:ascii="Bookman Old Style" w:eastAsia="Bookman Old Style" w:hAnsi="Bookman Old Style" w:cs="Bookman Old Style"/>
          <w:i/>
          <w:sz w:val="22"/>
          <w:szCs w:val="22"/>
        </w:rPr>
      </w:pPr>
      <w:r>
        <w:rPr>
          <w:rFonts w:ascii="Bookman Old Style" w:eastAsia="Bookman Old Style" w:hAnsi="Bookman Old Style" w:cs="Bookman Old Style"/>
          <w:i/>
          <w:sz w:val="22"/>
          <w:szCs w:val="22"/>
        </w:rPr>
        <w:t>- La necesidad para la entidad de utilizar este bien para programas y actividades de interés público en desarrollo de su o</w:t>
      </w:r>
      <w:r>
        <w:rPr>
          <w:rFonts w:ascii="Bookman Old Style" w:eastAsia="Bookman Old Style" w:hAnsi="Bookman Old Style" w:cs="Bookman Old Style"/>
          <w:i/>
          <w:sz w:val="22"/>
          <w:szCs w:val="22"/>
        </w:rPr>
        <w:t xml:space="preserve">bjeto misional.  </w:t>
      </w:r>
    </w:p>
    <w:p w:rsidR="00506B2D" w:rsidRDefault="008C5B26">
      <w:pPr>
        <w:widowControl w:val="0"/>
        <w:pBdr>
          <w:top w:val="nil"/>
          <w:left w:val="nil"/>
          <w:bottom w:val="nil"/>
          <w:right w:val="nil"/>
          <w:between w:val="nil"/>
        </w:pBdr>
        <w:spacing w:before="280" w:after="280" w:line="360" w:lineRule="auto"/>
        <w:ind w:left="567"/>
        <w:jc w:val="both"/>
        <w:rPr>
          <w:rFonts w:ascii="Bookman Old Style" w:eastAsia="Bookman Old Style" w:hAnsi="Bookman Old Style" w:cs="Bookman Old Style"/>
          <w:i/>
          <w:sz w:val="22"/>
          <w:szCs w:val="22"/>
        </w:rPr>
      </w:pPr>
      <w:r>
        <w:rPr>
          <w:rFonts w:ascii="Bookman Old Style" w:eastAsia="Bookman Old Style" w:hAnsi="Bookman Old Style" w:cs="Bookman Old Style"/>
          <w:i/>
          <w:sz w:val="22"/>
          <w:szCs w:val="22"/>
        </w:rPr>
        <w:t>- El documento en el que conste que el Proyecto de Donación que se pretende adelantar está autorizado por la Asamblea Departamental o el Consejo Municipal, en caso de entidades territoriales, o la autorización del Representante Legal o má</w:t>
      </w:r>
      <w:r>
        <w:rPr>
          <w:rFonts w:ascii="Bookman Old Style" w:eastAsia="Bookman Old Style" w:hAnsi="Bookman Old Style" w:cs="Bookman Old Style"/>
          <w:i/>
          <w:sz w:val="22"/>
          <w:szCs w:val="22"/>
        </w:rPr>
        <w:t xml:space="preserve">ximo órgano de administración en el caso de Entidades Públicas.  </w:t>
      </w:r>
    </w:p>
    <w:p w:rsidR="00506B2D" w:rsidRDefault="008C5B26">
      <w:pPr>
        <w:widowControl w:val="0"/>
        <w:pBdr>
          <w:top w:val="nil"/>
          <w:left w:val="nil"/>
          <w:bottom w:val="nil"/>
          <w:right w:val="nil"/>
          <w:between w:val="nil"/>
        </w:pBdr>
        <w:spacing w:before="280" w:after="280" w:line="360" w:lineRule="auto"/>
        <w:ind w:left="567"/>
        <w:jc w:val="both"/>
        <w:rPr>
          <w:rFonts w:ascii="Bookman Old Style" w:eastAsia="Bookman Old Style" w:hAnsi="Bookman Old Style" w:cs="Bookman Old Style"/>
          <w:i/>
          <w:sz w:val="22"/>
          <w:szCs w:val="22"/>
        </w:rPr>
      </w:pPr>
      <w:r>
        <w:rPr>
          <w:rFonts w:ascii="Bookman Old Style" w:eastAsia="Bookman Old Style" w:hAnsi="Bookman Old Style" w:cs="Bookman Old Style"/>
          <w:i/>
          <w:sz w:val="22"/>
          <w:szCs w:val="22"/>
        </w:rPr>
        <w:t xml:space="preserve">- Indicar el porcentaje de destinación contemplado en el artículo 91 de la Ley 1708 de 2014, al cual será imputado. </w:t>
      </w:r>
    </w:p>
    <w:p w:rsidR="00506B2D" w:rsidRDefault="008C5B26">
      <w:pPr>
        <w:widowControl w:val="0"/>
        <w:pBdr>
          <w:top w:val="nil"/>
          <w:left w:val="nil"/>
          <w:bottom w:val="nil"/>
          <w:right w:val="nil"/>
          <w:between w:val="nil"/>
        </w:pBdr>
        <w:spacing w:before="280" w:after="280" w:line="360" w:lineRule="auto"/>
        <w:ind w:left="567"/>
        <w:jc w:val="both"/>
        <w:rPr>
          <w:rFonts w:ascii="Bookman Old Style" w:eastAsia="Bookman Old Style" w:hAnsi="Bookman Old Style" w:cs="Bookman Old Style"/>
          <w:i/>
          <w:sz w:val="22"/>
          <w:szCs w:val="22"/>
        </w:rPr>
      </w:pPr>
      <w:r>
        <w:rPr>
          <w:rFonts w:ascii="Bookman Old Style" w:eastAsia="Bookman Old Style" w:hAnsi="Bookman Old Style" w:cs="Bookman Old Style"/>
          <w:i/>
          <w:sz w:val="22"/>
          <w:szCs w:val="22"/>
        </w:rPr>
        <w:t>El administrador del FRISCO para determinar la procedencia de la donación</w:t>
      </w:r>
      <w:r>
        <w:rPr>
          <w:rFonts w:ascii="Bookman Old Style" w:eastAsia="Bookman Old Style" w:hAnsi="Bookman Old Style" w:cs="Bookman Old Style"/>
          <w:i/>
          <w:sz w:val="22"/>
          <w:szCs w:val="22"/>
        </w:rPr>
        <w:t xml:space="preserve"> establecerá:  </w:t>
      </w:r>
    </w:p>
    <w:p w:rsidR="00506B2D" w:rsidRDefault="008C5B26">
      <w:pPr>
        <w:widowControl w:val="0"/>
        <w:pBdr>
          <w:top w:val="nil"/>
          <w:left w:val="nil"/>
          <w:bottom w:val="nil"/>
          <w:right w:val="nil"/>
          <w:between w:val="nil"/>
        </w:pBdr>
        <w:spacing w:before="280" w:after="280" w:line="360" w:lineRule="auto"/>
        <w:ind w:left="567"/>
        <w:jc w:val="both"/>
        <w:rPr>
          <w:rFonts w:ascii="Bookman Old Style" w:eastAsia="Bookman Old Style" w:hAnsi="Bookman Old Style" w:cs="Bookman Old Style"/>
          <w:i/>
          <w:sz w:val="22"/>
          <w:szCs w:val="22"/>
        </w:rPr>
      </w:pPr>
      <w:r>
        <w:rPr>
          <w:rFonts w:ascii="Bookman Old Style" w:eastAsia="Bookman Old Style" w:hAnsi="Bookman Old Style" w:cs="Bookman Old Style"/>
          <w:i/>
          <w:sz w:val="22"/>
          <w:szCs w:val="22"/>
        </w:rPr>
        <w:t xml:space="preserve">- Que el bien no cuente con un alto potencial de venta por parte del Administrador del FRISCO, para lo cual deberá contar con el respectivo concepto técnico de la SAE.  </w:t>
      </w:r>
    </w:p>
    <w:p w:rsidR="00506B2D" w:rsidRDefault="008C5B26">
      <w:pPr>
        <w:widowControl w:val="0"/>
        <w:pBdr>
          <w:top w:val="nil"/>
          <w:left w:val="nil"/>
          <w:bottom w:val="nil"/>
          <w:right w:val="nil"/>
          <w:between w:val="nil"/>
        </w:pBdr>
        <w:spacing w:before="280" w:after="280" w:line="360" w:lineRule="auto"/>
        <w:ind w:left="567"/>
        <w:jc w:val="both"/>
        <w:rPr>
          <w:rFonts w:ascii="Bookman Old Style" w:eastAsia="Bookman Old Style" w:hAnsi="Bookman Old Style" w:cs="Bookman Old Style"/>
          <w:i/>
          <w:sz w:val="22"/>
          <w:szCs w:val="22"/>
        </w:rPr>
      </w:pPr>
      <w:r>
        <w:rPr>
          <w:rFonts w:ascii="Bookman Old Style" w:eastAsia="Bookman Old Style" w:hAnsi="Bookman Old Style" w:cs="Bookman Old Style"/>
          <w:i/>
          <w:sz w:val="22"/>
          <w:szCs w:val="22"/>
        </w:rPr>
        <w:t>- Que el bien no se encuentre dentro de un acuerdo de comercialización</w:t>
      </w:r>
      <w:r>
        <w:rPr>
          <w:rFonts w:ascii="Bookman Old Style" w:eastAsia="Bookman Old Style" w:hAnsi="Bookman Old Style" w:cs="Bookman Old Style"/>
          <w:i/>
          <w:sz w:val="22"/>
          <w:szCs w:val="22"/>
        </w:rPr>
        <w:t xml:space="preserve"> en curso para su enajenación, para lo cual deberá contar con el respectivo concepto co­mercial de la SAE.  </w:t>
      </w:r>
    </w:p>
    <w:p w:rsidR="00506B2D" w:rsidRDefault="008C5B26">
      <w:pPr>
        <w:widowControl w:val="0"/>
        <w:pBdr>
          <w:top w:val="nil"/>
          <w:left w:val="nil"/>
          <w:bottom w:val="nil"/>
          <w:right w:val="nil"/>
          <w:between w:val="nil"/>
        </w:pBdr>
        <w:spacing w:before="280" w:after="280" w:line="360" w:lineRule="auto"/>
        <w:ind w:left="567"/>
        <w:jc w:val="both"/>
        <w:rPr>
          <w:rFonts w:ascii="Bookman Old Style" w:eastAsia="Bookman Old Style" w:hAnsi="Bookman Old Style" w:cs="Bookman Old Style"/>
          <w:i/>
          <w:sz w:val="22"/>
          <w:szCs w:val="22"/>
        </w:rPr>
      </w:pPr>
      <w:r>
        <w:rPr>
          <w:rFonts w:ascii="Bookman Old Style" w:eastAsia="Bookman Old Style" w:hAnsi="Bookman Old Style" w:cs="Bookman Old Style"/>
          <w:i/>
          <w:sz w:val="22"/>
          <w:szCs w:val="22"/>
        </w:rPr>
        <w:t xml:space="preserve">- Que el bien no sea objeto de las destinaciones específicas establecidas en las diferentes leyes.  </w:t>
      </w:r>
    </w:p>
    <w:p w:rsidR="00506B2D" w:rsidRDefault="008C5B26">
      <w:pPr>
        <w:widowControl w:val="0"/>
        <w:pBdr>
          <w:top w:val="nil"/>
          <w:left w:val="nil"/>
          <w:bottom w:val="nil"/>
          <w:right w:val="nil"/>
          <w:between w:val="nil"/>
        </w:pBdr>
        <w:spacing w:before="280" w:after="280" w:line="360" w:lineRule="auto"/>
        <w:ind w:left="567"/>
        <w:jc w:val="both"/>
        <w:rPr>
          <w:rFonts w:ascii="Bookman Old Style" w:eastAsia="Bookman Old Style" w:hAnsi="Bookman Old Style" w:cs="Bookman Old Style"/>
          <w:i/>
          <w:sz w:val="22"/>
          <w:szCs w:val="22"/>
        </w:rPr>
      </w:pPr>
      <w:r>
        <w:rPr>
          <w:rFonts w:ascii="Bookman Old Style" w:eastAsia="Bookman Old Style" w:hAnsi="Bookman Old Style" w:cs="Bookman Old Style"/>
          <w:i/>
          <w:sz w:val="22"/>
          <w:szCs w:val="22"/>
        </w:rPr>
        <w:t>- Que el bien no sea objeto de solicitud en el</w:t>
      </w:r>
      <w:r>
        <w:rPr>
          <w:rFonts w:ascii="Bookman Old Style" w:eastAsia="Bookman Old Style" w:hAnsi="Bookman Old Style" w:cs="Bookman Old Style"/>
          <w:i/>
          <w:sz w:val="22"/>
          <w:szCs w:val="22"/>
        </w:rPr>
        <w:t xml:space="preserve"> marco de un convenio de </w:t>
      </w:r>
      <w:r>
        <w:rPr>
          <w:rFonts w:ascii="Bookman Old Style" w:eastAsia="Bookman Old Style" w:hAnsi="Bookman Old Style" w:cs="Bookman Old Style"/>
          <w:i/>
          <w:sz w:val="22"/>
          <w:szCs w:val="22"/>
        </w:rPr>
        <w:lastRenderedPageBreak/>
        <w:t xml:space="preserve">compartición de bienes con un gobierno extranjero.  </w:t>
      </w:r>
    </w:p>
    <w:p w:rsidR="00506B2D" w:rsidRDefault="008C5B26">
      <w:pPr>
        <w:widowControl w:val="0"/>
        <w:pBdr>
          <w:top w:val="nil"/>
          <w:left w:val="nil"/>
          <w:bottom w:val="nil"/>
          <w:right w:val="nil"/>
          <w:between w:val="nil"/>
        </w:pBdr>
        <w:spacing w:before="280" w:after="280" w:line="360" w:lineRule="auto"/>
        <w:ind w:left="567"/>
        <w:jc w:val="both"/>
        <w:rPr>
          <w:rFonts w:ascii="Bookman Old Style" w:eastAsia="Bookman Old Style" w:hAnsi="Bookman Old Style" w:cs="Bookman Old Style"/>
          <w:i/>
          <w:sz w:val="22"/>
          <w:szCs w:val="22"/>
        </w:rPr>
      </w:pPr>
      <w:r>
        <w:rPr>
          <w:rFonts w:ascii="Bookman Old Style" w:eastAsia="Bookman Old Style" w:hAnsi="Bookman Old Style" w:cs="Bookman Old Style"/>
          <w:i/>
          <w:sz w:val="22"/>
          <w:szCs w:val="22"/>
        </w:rPr>
        <w:t>- En caso de bienes rurales será procedente, siempre y cuando, las entidades bene­ficiarias de destinaciones específicas previstas en leyes especiales manifiesten su desinterés e</w:t>
      </w:r>
      <w:r>
        <w:rPr>
          <w:rFonts w:ascii="Bookman Old Style" w:eastAsia="Bookman Old Style" w:hAnsi="Bookman Old Style" w:cs="Bookman Old Style"/>
          <w:i/>
          <w:sz w:val="22"/>
          <w:szCs w:val="22"/>
        </w:rPr>
        <w:t>n la adjudicación.”</w:t>
      </w:r>
    </w:p>
    <w:p w:rsidR="00506B2D" w:rsidRDefault="008C5B26">
      <w:pPr>
        <w:widowControl w:val="0"/>
        <w:pBdr>
          <w:top w:val="nil"/>
          <w:left w:val="nil"/>
          <w:bottom w:val="nil"/>
          <w:right w:val="nil"/>
          <w:between w:val="nil"/>
        </w:pBdr>
        <w:spacing w:before="280" w:after="280"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Como puede verse, el Decreto 1068 de 2015 habilita la primera posibilidad para la donación entre entidades públicas de bienes a los que se les ha dictado sentencia ejecutoria de extinción de dominio, sin embargo, establece por lo menos </w:t>
      </w:r>
      <w:r>
        <w:rPr>
          <w:rFonts w:ascii="Bookman Old Style" w:eastAsia="Bookman Old Style" w:hAnsi="Bookman Old Style" w:cs="Bookman Old Style"/>
          <w:sz w:val="22"/>
          <w:szCs w:val="22"/>
        </w:rPr>
        <w:t>dos limitantes que no atienden a la situación especial de los distritos y municipios. A saber, al imputar la transferencia a los porcentajes enunciados en el artículo 91 del CNED se limita presupuestalmente la gran mayoría de las solicitudes que pudieran l</w:t>
      </w:r>
      <w:r>
        <w:rPr>
          <w:rFonts w:ascii="Bookman Old Style" w:eastAsia="Bookman Old Style" w:hAnsi="Bookman Old Style" w:cs="Bookman Old Style"/>
          <w:sz w:val="22"/>
          <w:szCs w:val="22"/>
        </w:rPr>
        <w:t xml:space="preserve">legar a presentarse. </w:t>
      </w:r>
    </w:p>
    <w:p w:rsidR="00506B2D" w:rsidRDefault="008C5B26">
      <w:pPr>
        <w:widowControl w:val="0"/>
        <w:pBdr>
          <w:top w:val="nil"/>
          <w:left w:val="nil"/>
          <w:bottom w:val="nil"/>
          <w:right w:val="nil"/>
          <w:between w:val="nil"/>
        </w:pBdr>
        <w:spacing w:before="280" w:after="280"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Por otra parte, mediante los criterios para la procedencia de la donación se dificulta aún más la situación de las entidades territoriales solicitantes. Pues le otorga una prelación al potencial de venta de los bienes ante las necesid</w:t>
      </w:r>
      <w:r>
        <w:rPr>
          <w:rFonts w:ascii="Bookman Old Style" w:eastAsia="Bookman Old Style" w:hAnsi="Bookman Old Style" w:cs="Bookman Old Style"/>
          <w:sz w:val="22"/>
          <w:szCs w:val="22"/>
        </w:rPr>
        <w:t xml:space="preserve">ades territoriales, y excluye mediante el concepto de alto potencial de venta los bienes inmuebles a los que su destinación pública podría atender criterios de reparación colectiva y desarrollo distrital y municipal. </w:t>
      </w:r>
    </w:p>
    <w:p w:rsidR="00506B2D" w:rsidRDefault="008C5B26">
      <w:pPr>
        <w:widowControl w:val="0"/>
        <w:pBdr>
          <w:top w:val="nil"/>
          <w:left w:val="nil"/>
          <w:bottom w:val="nil"/>
          <w:right w:val="nil"/>
          <w:between w:val="nil"/>
        </w:pBdr>
        <w:spacing w:before="280" w:after="280"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En el siguiente gráfico se resumen las</w:t>
      </w:r>
      <w:r>
        <w:rPr>
          <w:rFonts w:ascii="Bookman Old Style" w:eastAsia="Bookman Old Style" w:hAnsi="Bookman Old Style" w:cs="Bookman Old Style"/>
          <w:sz w:val="22"/>
          <w:szCs w:val="22"/>
        </w:rPr>
        <w:t xml:space="preserve"> solicitudes que desde el año 2015 se han presentado para la donación de bienes inmuebles administrados por la SAE. En términos generales, de 21 solicitudes de donación, solo se han concedido 3 (SAE, 2020). </w:t>
      </w:r>
    </w:p>
    <w:tbl>
      <w:tblPr>
        <w:tblStyle w:val="a0"/>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8"/>
        <w:gridCol w:w="701"/>
        <w:gridCol w:w="1150"/>
        <w:gridCol w:w="2587"/>
        <w:gridCol w:w="1581"/>
        <w:gridCol w:w="2261"/>
      </w:tblGrid>
      <w:tr w:rsidR="00506B2D">
        <w:trPr>
          <w:trHeight w:val="285"/>
        </w:trPr>
        <w:tc>
          <w:tcPr>
            <w:tcW w:w="548" w:type="dxa"/>
          </w:tcPr>
          <w:p w:rsidR="00506B2D" w:rsidRDefault="008C5B26">
            <w:pPr>
              <w:jc w:val="both"/>
              <w:rPr>
                <w:rFonts w:ascii="Bookman Old Style" w:eastAsia="Bookman Old Style" w:hAnsi="Bookman Old Style" w:cs="Bookman Old Style"/>
                <w:b/>
                <w:color w:val="000000"/>
                <w:sz w:val="20"/>
                <w:szCs w:val="20"/>
              </w:rPr>
            </w:pPr>
            <w:r>
              <w:rPr>
                <w:rFonts w:ascii="Bookman Old Style" w:eastAsia="Bookman Old Style" w:hAnsi="Bookman Old Style" w:cs="Bookman Old Style"/>
                <w:b/>
                <w:color w:val="000000"/>
                <w:sz w:val="20"/>
                <w:szCs w:val="20"/>
              </w:rPr>
              <w:t>No.</w:t>
            </w:r>
          </w:p>
        </w:tc>
        <w:tc>
          <w:tcPr>
            <w:tcW w:w="701" w:type="dxa"/>
          </w:tcPr>
          <w:p w:rsidR="00506B2D" w:rsidRDefault="008C5B26">
            <w:pPr>
              <w:jc w:val="both"/>
              <w:rPr>
                <w:rFonts w:ascii="Bookman Old Style" w:eastAsia="Bookman Old Style" w:hAnsi="Bookman Old Style" w:cs="Bookman Old Style"/>
                <w:b/>
                <w:color w:val="000000"/>
                <w:sz w:val="20"/>
                <w:szCs w:val="20"/>
              </w:rPr>
            </w:pPr>
            <w:r>
              <w:rPr>
                <w:rFonts w:ascii="Bookman Old Style" w:eastAsia="Bookman Old Style" w:hAnsi="Bookman Old Style" w:cs="Bookman Old Style"/>
                <w:b/>
                <w:color w:val="000000"/>
                <w:sz w:val="20"/>
                <w:szCs w:val="20"/>
              </w:rPr>
              <w:t>AÑO</w:t>
            </w:r>
          </w:p>
        </w:tc>
        <w:tc>
          <w:tcPr>
            <w:tcW w:w="1150" w:type="dxa"/>
          </w:tcPr>
          <w:p w:rsidR="00506B2D" w:rsidRDefault="008C5B26">
            <w:pPr>
              <w:jc w:val="both"/>
              <w:rPr>
                <w:rFonts w:ascii="Bookman Old Style" w:eastAsia="Bookman Old Style" w:hAnsi="Bookman Old Style" w:cs="Bookman Old Style"/>
                <w:b/>
                <w:color w:val="000000"/>
                <w:sz w:val="20"/>
                <w:szCs w:val="20"/>
              </w:rPr>
            </w:pPr>
            <w:r>
              <w:rPr>
                <w:rFonts w:ascii="Bookman Old Style" w:eastAsia="Bookman Old Style" w:hAnsi="Bookman Old Style" w:cs="Bookman Old Style"/>
                <w:b/>
                <w:sz w:val="20"/>
                <w:szCs w:val="20"/>
              </w:rPr>
              <w:t>PÚBLICA</w:t>
            </w:r>
            <w:r>
              <w:rPr>
                <w:rFonts w:ascii="Bookman Old Style" w:eastAsia="Bookman Old Style" w:hAnsi="Bookman Old Style" w:cs="Bookman Old Style"/>
                <w:b/>
                <w:color w:val="000000"/>
                <w:sz w:val="20"/>
                <w:szCs w:val="20"/>
              </w:rPr>
              <w:t xml:space="preserve"> / PRIVADA</w:t>
            </w:r>
          </w:p>
        </w:tc>
        <w:tc>
          <w:tcPr>
            <w:tcW w:w="2587" w:type="dxa"/>
          </w:tcPr>
          <w:p w:rsidR="00506B2D" w:rsidRDefault="008C5B26">
            <w:pPr>
              <w:jc w:val="both"/>
              <w:rPr>
                <w:rFonts w:ascii="Bookman Old Style" w:eastAsia="Bookman Old Style" w:hAnsi="Bookman Old Style" w:cs="Bookman Old Style"/>
                <w:b/>
                <w:color w:val="000000"/>
                <w:sz w:val="20"/>
                <w:szCs w:val="20"/>
              </w:rPr>
            </w:pPr>
            <w:r>
              <w:rPr>
                <w:rFonts w:ascii="Bookman Old Style" w:eastAsia="Bookman Old Style" w:hAnsi="Bookman Old Style" w:cs="Bookman Old Style"/>
                <w:b/>
                <w:color w:val="000000"/>
                <w:sz w:val="20"/>
                <w:szCs w:val="20"/>
              </w:rPr>
              <w:t>NOMBRE ENTIDAD</w:t>
            </w:r>
          </w:p>
        </w:tc>
        <w:tc>
          <w:tcPr>
            <w:tcW w:w="1581" w:type="dxa"/>
          </w:tcPr>
          <w:p w:rsidR="00506B2D" w:rsidRDefault="008C5B26">
            <w:pPr>
              <w:jc w:val="both"/>
              <w:rPr>
                <w:rFonts w:ascii="Bookman Old Style" w:eastAsia="Bookman Old Style" w:hAnsi="Bookman Old Style" w:cs="Bookman Old Style"/>
                <w:b/>
                <w:color w:val="000000"/>
                <w:sz w:val="20"/>
                <w:szCs w:val="20"/>
              </w:rPr>
            </w:pPr>
            <w:r>
              <w:rPr>
                <w:rFonts w:ascii="Bookman Old Style" w:eastAsia="Bookman Old Style" w:hAnsi="Bookman Old Style" w:cs="Bookman Old Style"/>
                <w:b/>
                <w:color w:val="000000"/>
                <w:sz w:val="20"/>
                <w:szCs w:val="20"/>
              </w:rPr>
              <w:t>RESPUESTA</w:t>
            </w:r>
          </w:p>
        </w:tc>
        <w:tc>
          <w:tcPr>
            <w:tcW w:w="2261" w:type="dxa"/>
          </w:tcPr>
          <w:p w:rsidR="00506B2D" w:rsidRDefault="008C5B26">
            <w:pPr>
              <w:jc w:val="both"/>
              <w:rPr>
                <w:rFonts w:ascii="Bookman Old Style" w:eastAsia="Bookman Old Style" w:hAnsi="Bookman Old Style" w:cs="Bookman Old Style"/>
                <w:b/>
                <w:color w:val="000000"/>
                <w:sz w:val="20"/>
                <w:szCs w:val="20"/>
              </w:rPr>
            </w:pPr>
            <w:r>
              <w:rPr>
                <w:rFonts w:ascii="Bookman Old Style" w:eastAsia="Bookman Old Style" w:hAnsi="Bookman Old Style" w:cs="Bookman Old Style"/>
                <w:b/>
                <w:color w:val="000000"/>
                <w:sz w:val="20"/>
                <w:szCs w:val="20"/>
              </w:rPr>
              <w:t>RESULTADO</w:t>
            </w:r>
          </w:p>
        </w:tc>
      </w:tr>
      <w:tr w:rsidR="00506B2D">
        <w:trPr>
          <w:trHeight w:val="285"/>
        </w:trPr>
        <w:tc>
          <w:tcPr>
            <w:tcW w:w="548" w:type="dxa"/>
          </w:tcPr>
          <w:p w:rsidR="00506B2D" w:rsidRDefault="008C5B26">
            <w:pPr>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1</w:t>
            </w:r>
          </w:p>
        </w:tc>
        <w:tc>
          <w:tcPr>
            <w:tcW w:w="701" w:type="dxa"/>
          </w:tcPr>
          <w:p w:rsidR="00506B2D" w:rsidRDefault="008C5B26">
            <w:pPr>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2015</w:t>
            </w:r>
          </w:p>
        </w:tc>
        <w:tc>
          <w:tcPr>
            <w:tcW w:w="1150" w:type="dxa"/>
          </w:tcPr>
          <w:p w:rsidR="00506B2D" w:rsidRDefault="008C5B26">
            <w:pPr>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PUBLICA</w:t>
            </w:r>
          </w:p>
        </w:tc>
        <w:tc>
          <w:tcPr>
            <w:tcW w:w="2587" w:type="dxa"/>
          </w:tcPr>
          <w:p w:rsidR="00506B2D" w:rsidRDefault="008C5B26">
            <w:pPr>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ARMADA NACIONAL DE COLOMBIA</w:t>
            </w:r>
          </w:p>
        </w:tc>
        <w:tc>
          <w:tcPr>
            <w:tcW w:w="1581" w:type="dxa"/>
          </w:tcPr>
          <w:p w:rsidR="00506B2D" w:rsidRDefault="008C5B26">
            <w:pPr>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NEGATIVA</w:t>
            </w:r>
          </w:p>
        </w:tc>
        <w:tc>
          <w:tcPr>
            <w:tcW w:w="2261" w:type="dxa"/>
          </w:tcPr>
          <w:p w:rsidR="00506B2D" w:rsidRDefault="008C5B26">
            <w:pPr>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 </w:t>
            </w:r>
          </w:p>
        </w:tc>
      </w:tr>
      <w:tr w:rsidR="00506B2D">
        <w:trPr>
          <w:trHeight w:val="285"/>
        </w:trPr>
        <w:tc>
          <w:tcPr>
            <w:tcW w:w="548" w:type="dxa"/>
          </w:tcPr>
          <w:p w:rsidR="00506B2D" w:rsidRDefault="008C5B26">
            <w:pPr>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2</w:t>
            </w:r>
          </w:p>
        </w:tc>
        <w:tc>
          <w:tcPr>
            <w:tcW w:w="701" w:type="dxa"/>
          </w:tcPr>
          <w:p w:rsidR="00506B2D" w:rsidRDefault="008C5B26">
            <w:pPr>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2015</w:t>
            </w:r>
          </w:p>
        </w:tc>
        <w:tc>
          <w:tcPr>
            <w:tcW w:w="1150" w:type="dxa"/>
          </w:tcPr>
          <w:p w:rsidR="00506B2D" w:rsidRDefault="008C5B26">
            <w:pPr>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PUBLICA</w:t>
            </w:r>
          </w:p>
        </w:tc>
        <w:tc>
          <w:tcPr>
            <w:tcW w:w="2587" w:type="dxa"/>
          </w:tcPr>
          <w:p w:rsidR="00506B2D" w:rsidRDefault="008C5B26">
            <w:pPr>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PARQUES NACIONALES DE COLOMBIA</w:t>
            </w:r>
          </w:p>
        </w:tc>
        <w:tc>
          <w:tcPr>
            <w:tcW w:w="1581" w:type="dxa"/>
          </w:tcPr>
          <w:p w:rsidR="00506B2D" w:rsidRDefault="008C5B26">
            <w:pPr>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NEGATIVA</w:t>
            </w:r>
          </w:p>
        </w:tc>
        <w:tc>
          <w:tcPr>
            <w:tcW w:w="2261" w:type="dxa"/>
          </w:tcPr>
          <w:p w:rsidR="00506B2D" w:rsidRDefault="008C5B26">
            <w:pPr>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 </w:t>
            </w:r>
          </w:p>
        </w:tc>
      </w:tr>
      <w:tr w:rsidR="00506B2D">
        <w:trPr>
          <w:trHeight w:val="285"/>
        </w:trPr>
        <w:tc>
          <w:tcPr>
            <w:tcW w:w="548" w:type="dxa"/>
          </w:tcPr>
          <w:p w:rsidR="00506B2D" w:rsidRDefault="008C5B26">
            <w:pPr>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3</w:t>
            </w:r>
          </w:p>
        </w:tc>
        <w:tc>
          <w:tcPr>
            <w:tcW w:w="701" w:type="dxa"/>
          </w:tcPr>
          <w:p w:rsidR="00506B2D" w:rsidRDefault="008C5B26">
            <w:pPr>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2016</w:t>
            </w:r>
          </w:p>
        </w:tc>
        <w:tc>
          <w:tcPr>
            <w:tcW w:w="1150" w:type="dxa"/>
          </w:tcPr>
          <w:p w:rsidR="00506B2D" w:rsidRDefault="008C5B26">
            <w:pPr>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PUBLICA</w:t>
            </w:r>
          </w:p>
        </w:tc>
        <w:tc>
          <w:tcPr>
            <w:tcW w:w="2587" w:type="dxa"/>
          </w:tcPr>
          <w:p w:rsidR="00506B2D" w:rsidRDefault="008C5B26">
            <w:pPr>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ALCALDIA DE MANIZALES</w:t>
            </w:r>
          </w:p>
        </w:tc>
        <w:tc>
          <w:tcPr>
            <w:tcW w:w="1581" w:type="dxa"/>
          </w:tcPr>
          <w:p w:rsidR="00506B2D" w:rsidRDefault="008C5B26">
            <w:pPr>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NEGATIVA</w:t>
            </w:r>
          </w:p>
        </w:tc>
        <w:tc>
          <w:tcPr>
            <w:tcW w:w="2261" w:type="dxa"/>
          </w:tcPr>
          <w:p w:rsidR="00506B2D" w:rsidRDefault="008C5B26">
            <w:pPr>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 </w:t>
            </w:r>
          </w:p>
        </w:tc>
      </w:tr>
      <w:tr w:rsidR="00506B2D">
        <w:trPr>
          <w:trHeight w:val="285"/>
        </w:trPr>
        <w:tc>
          <w:tcPr>
            <w:tcW w:w="548" w:type="dxa"/>
          </w:tcPr>
          <w:p w:rsidR="00506B2D" w:rsidRDefault="008C5B26">
            <w:pPr>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lastRenderedPageBreak/>
              <w:t>4</w:t>
            </w:r>
          </w:p>
        </w:tc>
        <w:tc>
          <w:tcPr>
            <w:tcW w:w="701" w:type="dxa"/>
          </w:tcPr>
          <w:p w:rsidR="00506B2D" w:rsidRDefault="008C5B26">
            <w:pPr>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2016</w:t>
            </w:r>
          </w:p>
        </w:tc>
        <w:tc>
          <w:tcPr>
            <w:tcW w:w="1150" w:type="dxa"/>
          </w:tcPr>
          <w:p w:rsidR="00506B2D" w:rsidRDefault="008C5B26">
            <w:pPr>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PUBLICA</w:t>
            </w:r>
          </w:p>
        </w:tc>
        <w:tc>
          <w:tcPr>
            <w:tcW w:w="2587" w:type="dxa"/>
          </w:tcPr>
          <w:p w:rsidR="00506B2D" w:rsidRDefault="008C5B26">
            <w:pPr>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ALCALDIA DE MANIZALES</w:t>
            </w:r>
          </w:p>
        </w:tc>
        <w:tc>
          <w:tcPr>
            <w:tcW w:w="1581" w:type="dxa"/>
          </w:tcPr>
          <w:p w:rsidR="00506B2D" w:rsidRDefault="008C5B26">
            <w:pPr>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NEGATIVA</w:t>
            </w:r>
          </w:p>
        </w:tc>
        <w:tc>
          <w:tcPr>
            <w:tcW w:w="2261" w:type="dxa"/>
          </w:tcPr>
          <w:p w:rsidR="00506B2D" w:rsidRDefault="008C5B26">
            <w:pPr>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 </w:t>
            </w:r>
          </w:p>
        </w:tc>
      </w:tr>
      <w:tr w:rsidR="00506B2D">
        <w:trPr>
          <w:trHeight w:val="285"/>
        </w:trPr>
        <w:tc>
          <w:tcPr>
            <w:tcW w:w="548" w:type="dxa"/>
          </w:tcPr>
          <w:p w:rsidR="00506B2D" w:rsidRDefault="008C5B26">
            <w:pPr>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5</w:t>
            </w:r>
          </w:p>
        </w:tc>
        <w:tc>
          <w:tcPr>
            <w:tcW w:w="701" w:type="dxa"/>
          </w:tcPr>
          <w:p w:rsidR="00506B2D" w:rsidRDefault="008C5B26">
            <w:pPr>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2016</w:t>
            </w:r>
          </w:p>
        </w:tc>
        <w:tc>
          <w:tcPr>
            <w:tcW w:w="1150" w:type="dxa"/>
          </w:tcPr>
          <w:p w:rsidR="00506B2D" w:rsidRDefault="008C5B26">
            <w:pPr>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PUBLICA</w:t>
            </w:r>
          </w:p>
        </w:tc>
        <w:tc>
          <w:tcPr>
            <w:tcW w:w="2587" w:type="dxa"/>
          </w:tcPr>
          <w:p w:rsidR="00506B2D" w:rsidRDefault="008C5B26">
            <w:pPr>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ALCALDIA SAN PEDRO DE LOS MILAGROS</w:t>
            </w:r>
          </w:p>
        </w:tc>
        <w:tc>
          <w:tcPr>
            <w:tcW w:w="1581" w:type="dxa"/>
          </w:tcPr>
          <w:p w:rsidR="00506B2D" w:rsidRDefault="008C5B26">
            <w:pPr>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NEGATIVA</w:t>
            </w:r>
          </w:p>
        </w:tc>
        <w:tc>
          <w:tcPr>
            <w:tcW w:w="2261" w:type="dxa"/>
          </w:tcPr>
          <w:p w:rsidR="00506B2D" w:rsidRDefault="008C5B26">
            <w:pPr>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 </w:t>
            </w:r>
          </w:p>
        </w:tc>
      </w:tr>
      <w:tr w:rsidR="00506B2D">
        <w:trPr>
          <w:trHeight w:val="285"/>
        </w:trPr>
        <w:tc>
          <w:tcPr>
            <w:tcW w:w="548" w:type="dxa"/>
          </w:tcPr>
          <w:p w:rsidR="00506B2D" w:rsidRDefault="008C5B26">
            <w:pPr>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6</w:t>
            </w:r>
          </w:p>
        </w:tc>
        <w:tc>
          <w:tcPr>
            <w:tcW w:w="701" w:type="dxa"/>
          </w:tcPr>
          <w:p w:rsidR="00506B2D" w:rsidRDefault="008C5B26">
            <w:pPr>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2016</w:t>
            </w:r>
          </w:p>
        </w:tc>
        <w:tc>
          <w:tcPr>
            <w:tcW w:w="1150" w:type="dxa"/>
          </w:tcPr>
          <w:p w:rsidR="00506B2D" w:rsidRDefault="008C5B26">
            <w:pPr>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PUBLICA</w:t>
            </w:r>
          </w:p>
        </w:tc>
        <w:tc>
          <w:tcPr>
            <w:tcW w:w="2587" w:type="dxa"/>
          </w:tcPr>
          <w:p w:rsidR="00506B2D" w:rsidRDefault="008C5B26">
            <w:pPr>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UNIDAD PARA LA ATENCION Y REPARACION INTEGRAL DE VICTIMAS</w:t>
            </w:r>
          </w:p>
        </w:tc>
        <w:tc>
          <w:tcPr>
            <w:tcW w:w="1581" w:type="dxa"/>
          </w:tcPr>
          <w:p w:rsidR="00506B2D" w:rsidRDefault="008C5B26">
            <w:pPr>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NEGATIVA</w:t>
            </w:r>
          </w:p>
        </w:tc>
        <w:tc>
          <w:tcPr>
            <w:tcW w:w="2261" w:type="dxa"/>
          </w:tcPr>
          <w:p w:rsidR="00506B2D" w:rsidRDefault="008C5B26">
            <w:pPr>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 </w:t>
            </w:r>
          </w:p>
        </w:tc>
      </w:tr>
      <w:tr w:rsidR="00506B2D">
        <w:trPr>
          <w:trHeight w:val="285"/>
        </w:trPr>
        <w:tc>
          <w:tcPr>
            <w:tcW w:w="548" w:type="dxa"/>
          </w:tcPr>
          <w:p w:rsidR="00506B2D" w:rsidRDefault="008C5B26">
            <w:pPr>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7</w:t>
            </w:r>
          </w:p>
        </w:tc>
        <w:tc>
          <w:tcPr>
            <w:tcW w:w="701" w:type="dxa"/>
          </w:tcPr>
          <w:p w:rsidR="00506B2D" w:rsidRDefault="008C5B26">
            <w:pPr>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2017</w:t>
            </w:r>
          </w:p>
        </w:tc>
        <w:tc>
          <w:tcPr>
            <w:tcW w:w="1150" w:type="dxa"/>
          </w:tcPr>
          <w:p w:rsidR="00506B2D" w:rsidRDefault="008C5B26">
            <w:pPr>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PUBLICA</w:t>
            </w:r>
          </w:p>
        </w:tc>
        <w:tc>
          <w:tcPr>
            <w:tcW w:w="2587" w:type="dxa"/>
          </w:tcPr>
          <w:p w:rsidR="00506B2D" w:rsidRDefault="008C5B26">
            <w:pPr>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POLICIA NACIONAL DE COLOMBIA</w:t>
            </w:r>
          </w:p>
        </w:tc>
        <w:tc>
          <w:tcPr>
            <w:tcW w:w="1581" w:type="dxa"/>
          </w:tcPr>
          <w:p w:rsidR="00506B2D" w:rsidRDefault="008C5B26">
            <w:pPr>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POSITIVA</w:t>
            </w:r>
          </w:p>
        </w:tc>
        <w:tc>
          <w:tcPr>
            <w:tcW w:w="2261" w:type="dxa"/>
          </w:tcPr>
          <w:p w:rsidR="00506B2D" w:rsidRDefault="008C5B26">
            <w:pPr>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ASIGNADOS 3 BIENES INMUEBLES</w:t>
            </w:r>
          </w:p>
        </w:tc>
      </w:tr>
      <w:tr w:rsidR="00506B2D">
        <w:trPr>
          <w:trHeight w:val="285"/>
        </w:trPr>
        <w:tc>
          <w:tcPr>
            <w:tcW w:w="548" w:type="dxa"/>
          </w:tcPr>
          <w:p w:rsidR="00506B2D" w:rsidRDefault="008C5B26">
            <w:pPr>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8</w:t>
            </w:r>
          </w:p>
        </w:tc>
        <w:tc>
          <w:tcPr>
            <w:tcW w:w="701" w:type="dxa"/>
          </w:tcPr>
          <w:p w:rsidR="00506B2D" w:rsidRDefault="008C5B26">
            <w:pPr>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2018</w:t>
            </w:r>
          </w:p>
        </w:tc>
        <w:tc>
          <w:tcPr>
            <w:tcW w:w="1150" w:type="dxa"/>
          </w:tcPr>
          <w:p w:rsidR="00506B2D" w:rsidRDefault="008C5B26">
            <w:pPr>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PUBLICA</w:t>
            </w:r>
          </w:p>
        </w:tc>
        <w:tc>
          <w:tcPr>
            <w:tcW w:w="2587" w:type="dxa"/>
          </w:tcPr>
          <w:p w:rsidR="00506B2D" w:rsidRDefault="008C5B26">
            <w:pPr>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ALCALDIA DE MEDELLIN</w:t>
            </w:r>
          </w:p>
        </w:tc>
        <w:tc>
          <w:tcPr>
            <w:tcW w:w="1581" w:type="dxa"/>
          </w:tcPr>
          <w:p w:rsidR="00506B2D" w:rsidRDefault="008C5B26">
            <w:pPr>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NEGATIVA</w:t>
            </w:r>
          </w:p>
        </w:tc>
        <w:tc>
          <w:tcPr>
            <w:tcW w:w="2261" w:type="dxa"/>
          </w:tcPr>
          <w:p w:rsidR="00506B2D" w:rsidRDefault="008C5B26">
            <w:pPr>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 </w:t>
            </w:r>
          </w:p>
        </w:tc>
      </w:tr>
      <w:tr w:rsidR="00506B2D">
        <w:trPr>
          <w:trHeight w:val="285"/>
        </w:trPr>
        <w:tc>
          <w:tcPr>
            <w:tcW w:w="548" w:type="dxa"/>
          </w:tcPr>
          <w:p w:rsidR="00506B2D" w:rsidRDefault="008C5B26">
            <w:pPr>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9</w:t>
            </w:r>
          </w:p>
        </w:tc>
        <w:tc>
          <w:tcPr>
            <w:tcW w:w="701" w:type="dxa"/>
          </w:tcPr>
          <w:p w:rsidR="00506B2D" w:rsidRDefault="008C5B26">
            <w:pPr>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2018</w:t>
            </w:r>
          </w:p>
        </w:tc>
        <w:tc>
          <w:tcPr>
            <w:tcW w:w="1150" w:type="dxa"/>
          </w:tcPr>
          <w:p w:rsidR="00506B2D" w:rsidRDefault="008C5B26">
            <w:pPr>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PUBLICA</w:t>
            </w:r>
          </w:p>
        </w:tc>
        <w:tc>
          <w:tcPr>
            <w:tcW w:w="2587" w:type="dxa"/>
          </w:tcPr>
          <w:p w:rsidR="00506B2D" w:rsidRDefault="008C5B26">
            <w:pPr>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 xml:space="preserve">POLICIA METROPOLITANA DE VILLAVICENCIO - SECCIONAL DE INVESTIGACION CRIMINAL  </w:t>
            </w:r>
          </w:p>
        </w:tc>
        <w:tc>
          <w:tcPr>
            <w:tcW w:w="1581" w:type="dxa"/>
          </w:tcPr>
          <w:p w:rsidR="00506B2D" w:rsidRDefault="008C5B26">
            <w:pPr>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NEGATIVA</w:t>
            </w:r>
          </w:p>
        </w:tc>
        <w:tc>
          <w:tcPr>
            <w:tcW w:w="2261" w:type="dxa"/>
          </w:tcPr>
          <w:p w:rsidR="00506B2D" w:rsidRDefault="008C5B26">
            <w:pPr>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 </w:t>
            </w:r>
          </w:p>
        </w:tc>
      </w:tr>
      <w:tr w:rsidR="00506B2D">
        <w:trPr>
          <w:trHeight w:val="285"/>
        </w:trPr>
        <w:tc>
          <w:tcPr>
            <w:tcW w:w="548" w:type="dxa"/>
          </w:tcPr>
          <w:p w:rsidR="00506B2D" w:rsidRDefault="008C5B26">
            <w:pPr>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10</w:t>
            </w:r>
          </w:p>
        </w:tc>
        <w:tc>
          <w:tcPr>
            <w:tcW w:w="701" w:type="dxa"/>
          </w:tcPr>
          <w:p w:rsidR="00506B2D" w:rsidRDefault="008C5B26">
            <w:pPr>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2018</w:t>
            </w:r>
          </w:p>
        </w:tc>
        <w:tc>
          <w:tcPr>
            <w:tcW w:w="1150" w:type="dxa"/>
          </w:tcPr>
          <w:p w:rsidR="00506B2D" w:rsidRDefault="008C5B26">
            <w:pPr>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PUBLICA</w:t>
            </w:r>
          </w:p>
        </w:tc>
        <w:tc>
          <w:tcPr>
            <w:tcW w:w="2587" w:type="dxa"/>
          </w:tcPr>
          <w:p w:rsidR="00506B2D" w:rsidRDefault="008C5B26">
            <w:pPr>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ALCALDIA DE SANTA MARTA</w:t>
            </w:r>
          </w:p>
        </w:tc>
        <w:tc>
          <w:tcPr>
            <w:tcW w:w="1581" w:type="dxa"/>
          </w:tcPr>
          <w:p w:rsidR="00506B2D" w:rsidRDefault="008C5B26">
            <w:pPr>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NEGATIVA</w:t>
            </w:r>
          </w:p>
        </w:tc>
        <w:tc>
          <w:tcPr>
            <w:tcW w:w="2261" w:type="dxa"/>
          </w:tcPr>
          <w:p w:rsidR="00506B2D" w:rsidRDefault="008C5B26">
            <w:pPr>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 </w:t>
            </w:r>
          </w:p>
        </w:tc>
      </w:tr>
      <w:tr w:rsidR="00506B2D">
        <w:trPr>
          <w:trHeight w:val="285"/>
        </w:trPr>
        <w:tc>
          <w:tcPr>
            <w:tcW w:w="548" w:type="dxa"/>
          </w:tcPr>
          <w:p w:rsidR="00506B2D" w:rsidRDefault="008C5B26">
            <w:pPr>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11</w:t>
            </w:r>
          </w:p>
        </w:tc>
        <w:tc>
          <w:tcPr>
            <w:tcW w:w="701" w:type="dxa"/>
          </w:tcPr>
          <w:p w:rsidR="00506B2D" w:rsidRDefault="008C5B26">
            <w:pPr>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2018</w:t>
            </w:r>
          </w:p>
        </w:tc>
        <w:tc>
          <w:tcPr>
            <w:tcW w:w="1150" w:type="dxa"/>
          </w:tcPr>
          <w:p w:rsidR="00506B2D" w:rsidRDefault="008C5B26">
            <w:pPr>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PUBLICA</w:t>
            </w:r>
          </w:p>
        </w:tc>
        <w:tc>
          <w:tcPr>
            <w:tcW w:w="2587" w:type="dxa"/>
          </w:tcPr>
          <w:p w:rsidR="00506B2D" w:rsidRDefault="008C5B26">
            <w:pPr>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MINISTERIO DE JUSTICIA - USPEC</w:t>
            </w:r>
          </w:p>
        </w:tc>
        <w:tc>
          <w:tcPr>
            <w:tcW w:w="1581" w:type="dxa"/>
          </w:tcPr>
          <w:p w:rsidR="00506B2D" w:rsidRDefault="008C5B26">
            <w:pPr>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NEGATIVA</w:t>
            </w:r>
          </w:p>
        </w:tc>
        <w:tc>
          <w:tcPr>
            <w:tcW w:w="2261" w:type="dxa"/>
          </w:tcPr>
          <w:p w:rsidR="00506B2D" w:rsidRDefault="008C5B26">
            <w:pPr>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 </w:t>
            </w:r>
          </w:p>
        </w:tc>
      </w:tr>
      <w:tr w:rsidR="00506B2D">
        <w:trPr>
          <w:trHeight w:val="285"/>
        </w:trPr>
        <w:tc>
          <w:tcPr>
            <w:tcW w:w="548" w:type="dxa"/>
          </w:tcPr>
          <w:p w:rsidR="00506B2D" w:rsidRDefault="008C5B26">
            <w:pPr>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12</w:t>
            </w:r>
          </w:p>
        </w:tc>
        <w:tc>
          <w:tcPr>
            <w:tcW w:w="701" w:type="dxa"/>
          </w:tcPr>
          <w:p w:rsidR="00506B2D" w:rsidRDefault="008C5B26">
            <w:pPr>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2019</w:t>
            </w:r>
          </w:p>
        </w:tc>
        <w:tc>
          <w:tcPr>
            <w:tcW w:w="1150" w:type="dxa"/>
          </w:tcPr>
          <w:p w:rsidR="00506B2D" w:rsidRDefault="008C5B26">
            <w:pPr>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PUBLICA</w:t>
            </w:r>
          </w:p>
        </w:tc>
        <w:tc>
          <w:tcPr>
            <w:tcW w:w="2587" w:type="dxa"/>
          </w:tcPr>
          <w:p w:rsidR="00506B2D" w:rsidRDefault="008C5B26">
            <w:pPr>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SECRETARIA DE GOBIERNO Y POSCONFLICTO</w:t>
            </w:r>
          </w:p>
        </w:tc>
        <w:tc>
          <w:tcPr>
            <w:tcW w:w="1581" w:type="dxa"/>
          </w:tcPr>
          <w:p w:rsidR="00506B2D" w:rsidRDefault="008C5B26">
            <w:pPr>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NEGATIVA</w:t>
            </w:r>
          </w:p>
        </w:tc>
        <w:tc>
          <w:tcPr>
            <w:tcW w:w="2261" w:type="dxa"/>
          </w:tcPr>
          <w:p w:rsidR="00506B2D" w:rsidRDefault="008C5B26">
            <w:pPr>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 </w:t>
            </w:r>
          </w:p>
        </w:tc>
      </w:tr>
      <w:tr w:rsidR="00506B2D">
        <w:trPr>
          <w:trHeight w:val="285"/>
        </w:trPr>
        <w:tc>
          <w:tcPr>
            <w:tcW w:w="548" w:type="dxa"/>
          </w:tcPr>
          <w:p w:rsidR="00506B2D" w:rsidRDefault="008C5B26">
            <w:pPr>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13</w:t>
            </w:r>
          </w:p>
        </w:tc>
        <w:tc>
          <w:tcPr>
            <w:tcW w:w="701" w:type="dxa"/>
          </w:tcPr>
          <w:p w:rsidR="00506B2D" w:rsidRDefault="008C5B26">
            <w:pPr>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2019</w:t>
            </w:r>
          </w:p>
        </w:tc>
        <w:tc>
          <w:tcPr>
            <w:tcW w:w="1150" w:type="dxa"/>
          </w:tcPr>
          <w:p w:rsidR="00506B2D" w:rsidRDefault="008C5B26">
            <w:pPr>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PUBLICA</w:t>
            </w:r>
          </w:p>
        </w:tc>
        <w:tc>
          <w:tcPr>
            <w:tcW w:w="2587" w:type="dxa"/>
          </w:tcPr>
          <w:p w:rsidR="00506B2D" w:rsidRDefault="008C5B26">
            <w:pPr>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ALCALDIA DE MARSELLA</w:t>
            </w:r>
          </w:p>
        </w:tc>
        <w:tc>
          <w:tcPr>
            <w:tcW w:w="1581" w:type="dxa"/>
          </w:tcPr>
          <w:p w:rsidR="00506B2D" w:rsidRDefault="008C5B26">
            <w:pPr>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NEGATIVA</w:t>
            </w:r>
          </w:p>
        </w:tc>
        <w:tc>
          <w:tcPr>
            <w:tcW w:w="2261" w:type="dxa"/>
          </w:tcPr>
          <w:p w:rsidR="00506B2D" w:rsidRDefault="008C5B26">
            <w:pPr>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 </w:t>
            </w:r>
          </w:p>
        </w:tc>
      </w:tr>
      <w:tr w:rsidR="00506B2D">
        <w:trPr>
          <w:trHeight w:val="285"/>
        </w:trPr>
        <w:tc>
          <w:tcPr>
            <w:tcW w:w="548" w:type="dxa"/>
          </w:tcPr>
          <w:p w:rsidR="00506B2D" w:rsidRDefault="008C5B26">
            <w:pPr>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14</w:t>
            </w:r>
          </w:p>
        </w:tc>
        <w:tc>
          <w:tcPr>
            <w:tcW w:w="701" w:type="dxa"/>
          </w:tcPr>
          <w:p w:rsidR="00506B2D" w:rsidRDefault="008C5B26">
            <w:pPr>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2019</w:t>
            </w:r>
          </w:p>
        </w:tc>
        <w:tc>
          <w:tcPr>
            <w:tcW w:w="1150" w:type="dxa"/>
          </w:tcPr>
          <w:p w:rsidR="00506B2D" w:rsidRDefault="008C5B26">
            <w:pPr>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PUBLICA</w:t>
            </w:r>
          </w:p>
        </w:tc>
        <w:tc>
          <w:tcPr>
            <w:tcW w:w="2587" w:type="dxa"/>
          </w:tcPr>
          <w:p w:rsidR="00506B2D" w:rsidRDefault="008C5B26">
            <w:pPr>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INSTITUTO COLOMBIANO DE BIENESTAR FAMILIAR</w:t>
            </w:r>
          </w:p>
        </w:tc>
        <w:tc>
          <w:tcPr>
            <w:tcW w:w="1581" w:type="dxa"/>
          </w:tcPr>
          <w:p w:rsidR="00506B2D" w:rsidRDefault="008C5B26">
            <w:pPr>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NEGATIVA</w:t>
            </w:r>
          </w:p>
        </w:tc>
        <w:tc>
          <w:tcPr>
            <w:tcW w:w="2261" w:type="dxa"/>
          </w:tcPr>
          <w:p w:rsidR="00506B2D" w:rsidRDefault="008C5B26">
            <w:pPr>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 </w:t>
            </w:r>
          </w:p>
        </w:tc>
      </w:tr>
      <w:tr w:rsidR="00506B2D">
        <w:trPr>
          <w:trHeight w:val="285"/>
        </w:trPr>
        <w:tc>
          <w:tcPr>
            <w:tcW w:w="548" w:type="dxa"/>
          </w:tcPr>
          <w:p w:rsidR="00506B2D" w:rsidRDefault="008C5B26">
            <w:pPr>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15</w:t>
            </w:r>
          </w:p>
        </w:tc>
        <w:tc>
          <w:tcPr>
            <w:tcW w:w="701" w:type="dxa"/>
          </w:tcPr>
          <w:p w:rsidR="00506B2D" w:rsidRDefault="008C5B26">
            <w:pPr>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2019</w:t>
            </w:r>
          </w:p>
        </w:tc>
        <w:tc>
          <w:tcPr>
            <w:tcW w:w="1150" w:type="dxa"/>
          </w:tcPr>
          <w:p w:rsidR="00506B2D" w:rsidRDefault="008C5B26">
            <w:pPr>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PUBLICA</w:t>
            </w:r>
          </w:p>
        </w:tc>
        <w:tc>
          <w:tcPr>
            <w:tcW w:w="2587" w:type="dxa"/>
          </w:tcPr>
          <w:p w:rsidR="00506B2D" w:rsidRDefault="008C5B26">
            <w:pPr>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GOBERNACION CASANARE</w:t>
            </w:r>
          </w:p>
        </w:tc>
        <w:tc>
          <w:tcPr>
            <w:tcW w:w="1581" w:type="dxa"/>
          </w:tcPr>
          <w:p w:rsidR="00506B2D" w:rsidRDefault="008C5B26">
            <w:pPr>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NEGATIVA</w:t>
            </w:r>
          </w:p>
        </w:tc>
        <w:tc>
          <w:tcPr>
            <w:tcW w:w="2261" w:type="dxa"/>
          </w:tcPr>
          <w:p w:rsidR="00506B2D" w:rsidRDefault="008C5B26">
            <w:pPr>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 </w:t>
            </w:r>
          </w:p>
        </w:tc>
      </w:tr>
      <w:tr w:rsidR="00506B2D">
        <w:trPr>
          <w:trHeight w:val="285"/>
        </w:trPr>
        <w:tc>
          <w:tcPr>
            <w:tcW w:w="548" w:type="dxa"/>
          </w:tcPr>
          <w:p w:rsidR="00506B2D" w:rsidRDefault="008C5B26">
            <w:pPr>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16</w:t>
            </w:r>
          </w:p>
        </w:tc>
        <w:tc>
          <w:tcPr>
            <w:tcW w:w="701" w:type="dxa"/>
          </w:tcPr>
          <w:p w:rsidR="00506B2D" w:rsidRDefault="008C5B26">
            <w:pPr>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2019</w:t>
            </w:r>
          </w:p>
        </w:tc>
        <w:tc>
          <w:tcPr>
            <w:tcW w:w="1150" w:type="dxa"/>
          </w:tcPr>
          <w:p w:rsidR="00506B2D" w:rsidRDefault="008C5B26">
            <w:pPr>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PUBLICA</w:t>
            </w:r>
          </w:p>
        </w:tc>
        <w:tc>
          <w:tcPr>
            <w:tcW w:w="2587" w:type="dxa"/>
          </w:tcPr>
          <w:p w:rsidR="00506B2D" w:rsidRDefault="008C5B26">
            <w:pPr>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ARMADA NACIONAL DE COLOMBIA</w:t>
            </w:r>
          </w:p>
        </w:tc>
        <w:tc>
          <w:tcPr>
            <w:tcW w:w="1581" w:type="dxa"/>
          </w:tcPr>
          <w:p w:rsidR="00506B2D" w:rsidRDefault="008C5B26">
            <w:pPr>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NEGATIVA</w:t>
            </w:r>
          </w:p>
        </w:tc>
        <w:tc>
          <w:tcPr>
            <w:tcW w:w="2261" w:type="dxa"/>
          </w:tcPr>
          <w:p w:rsidR="00506B2D" w:rsidRDefault="008C5B26">
            <w:pPr>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 </w:t>
            </w:r>
          </w:p>
        </w:tc>
      </w:tr>
      <w:tr w:rsidR="00506B2D">
        <w:trPr>
          <w:trHeight w:val="285"/>
        </w:trPr>
        <w:tc>
          <w:tcPr>
            <w:tcW w:w="548" w:type="dxa"/>
          </w:tcPr>
          <w:p w:rsidR="00506B2D" w:rsidRDefault="008C5B26">
            <w:pPr>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17</w:t>
            </w:r>
          </w:p>
        </w:tc>
        <w:tc>
          <w:tcPr>
            <w:tcW w:w="701" w:type="dxa"/>
          </w:tcPr>
          <w:p w:rsidR="00506B2D" w:rsidRDefault="008C5B26">
            <w:pPr>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2019</w:t>
            </w:r>
          </w:p>
        </w:tc>
        <w:tc>
          <w:tcPr>
            <w:tcW w:w="1150" w:type="dxa"/>
          </w:tcPr>
          <w:p w:rsidR="00506B2D" w:rsidRDefault="008C5B26">
            <w:pPr>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PUBLICA</w:t>
            </w:r>
          </w:p>
        </w:tc>
        <w:tc>
          <w:tcPr>
            <w:tcW w:w="2587" w:type="dxa"/>
          </w:tcPr>
          <w:p w:rsidR="00506B2D" w:rsidRDefault="008C5B26">
            <w:pPr>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MINISTERIO DEL INTERIOR</w:t>
            </w:r>
          </w:p>
        </w:tc>
        <w:tc>
          <w:tcPr>
            <w:tcW w:w="1581" w:type="dxa"/>
          </w:tcPr>
          <w:p w:rsidR="00506B2D" w:rsidRDefault="008C5B26">
            <w:pPr>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POSITIVA</w:t>
            </w:r>
          </w:p>
        </w:tc>
        <w:tc>
          <w:tcPr>
            <w:tcW w:w="2261" w:type="dxa"/>
          </w:tcPr>
          <w:p w:rsidR="00506B2D" w:rsidRDefault="008C5B26">
            <w:pPr>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EN ESPERA CONFIRMACIÓN - REMISIÓN DE PROYECTO Y CUMPLIMIENTO DE REQUISITOS</w:t>
            </w:r>
          </w:p>
        </w:tc>
      </w:tr>
      <w:tr w:rsidR="00506B2D">
        <w:trPr>
          <w:trHeight w:val="285"/>
        </w:trPr>
        <w:tc>
          <w:tcPr>
            <w:tcW w:w="548" w:type="dxa"/>
          </w:tcPr>
          <w:p w:rsidR="00506B2D" w:rsidRDefault="008C5B26">
            <w:pPr>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18</w:t>
            </w:r>
          </w:p>
        </w:tc>
        <w:tc>
          <w:tcPr>
            <w:tcW w:w="701" w:type="dxa"/>
          </w:tcPr>
          <w:p w:rsidR="00506B2D" w:rsidRDefault="008C5B26">
            <w:pPr>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2019</w:t>
            </w:r>
          </w:p>
        </w:tc>
        <w:tc>
          <w:tcPr>
            <w:tcW w:w="1150" w:type="dxa"/>
          </w:tcPr>
          <w:p w:rsidR="00506B2D" w:rsidRDefault="008C5B26">
            <w:pPr>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PUBLICA</w:t>
            </w:r>
          </w:p>
        </w:tc>
        <w:tc>
          <w:tcPr>
            <w:tcW w:w="2587" w:type="dxa"/>
          </w:tcPr>
          <w:p w:rsidR="00506B2D" w:rsidRDefault="008C5B26">
            <w:pPr>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ALCALDIA DE LETICIA</w:t>
            </w:r>
          </w:p>
        </w:tc>
        <w:tc>
          <w:tcPr>
            <w:tcW w:w="1581" w:type="dxa"/>
          </w:tcPr>
          <w:p w:rsidR="00506B2D" w:rsidRDefault="008C5B26">
            <w:pPr>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POSITIVA</w:t>
            </w:r>
          </w:p>
        </w:tc>
        <w:tc>
          <w:tcPr>
            <w:tcW w:w="2261" w:type="dxa"/>
          </w:tcPr>
          <w:p w:rsidR="00506B2D" w:rsidRDefault="008C5B26">
            <w:pPr>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EN ESPERA CONFIRMACIÓN CARGO PORCENTAJE NACIONAL</w:t>
            </w:r>
          </w:p>
        </w:tc>
      </w:tr>
      <w:tr w:rsidR="00506B2D">
        <w:trPr>
          <w:trHeight w:val="285"/>
        </w:trPr>
        <w:tc>
          <w:tcPr>
            <w:tcW w:w="548" w:type="dxa"/>
          </w:tcPr>
          <w:p w:rsidR="00506B2D" w:rsidRDefault="008C5B26">
            <w:pPr>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19</w:t>
            </w:r>
          </w:p>
        </w:tc>
        <w:tc>
          <w:tcPr>
            <w:tcW w:w="701" w:type="dxa"/>
          </w:tcPr>
          <w:p w:rsidR="00506B2D" w:rsidRDefault="008C5B26">
            <w:pPr>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2020</w:t>
            </w:r>
          </w:p>
        </w:tc>
        <w:tc>
          <w:tcPr>
            <w:tcW w:w="1150" w:type="dxa"/>
          </w:tcPr>
          <w:p w:rsidR="00506B2D" w:rsidRDefault="008C5B26">
            <w:pPr>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PUBLICA</w:t>
            </w:r>
          </w:p>
        </w:tc>
        <w:tc>
          <w:tcPr>
            <w:tcW w:w="2587" w:type="dxa"/>
          </w:tcPr>
          <w:p w:rsidR="00506B2D" w:rsidRDefault="008C5B26">
            <w:pPr>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INSTITUTO COLOMBIANO DE BIENESTAR FAMILIAR - REGIONAL VALLE DEL CAUCA</w:t>
            </w:r>
          </w:p>
        </w:tc>
        <w:tc>
          <w:tcPr>
            <w:tcW w:w="1581" w:type="dxa"/>
          </w:tcPr>
          <w:p w:rsidR="00506B2D" w:rsidRDefault="008C5B26">
            <w:pPr>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NEGATIVA</w:t>
            </w:r>
          </w:p>
        </w:tc>
        <w:tc>
          <w:tcPr>
            <w:tcW w:w="2261" w:type="dxa"/>
          </w:tcPr>
          <w:p w:rsidR="00506B2D" w:rsidRDefault="008C5B26">
            <w:pPr>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 </w:t>
            </w:r>
          </w:p>
        </w:tc>
      </w:tr>
      <w:tr w:rsidR="00506B2D">
        <w:trPr>
          <w:trHeight w:val="315"/>
        </w:trPr>
        <w:tc>
          <w:tcPr>
            <w:tcW w:w="548" w:type="dxa"/>
          </w:tcPr>
          <w:p w:rsidR="00506B2D" w:rsidRDefault="008C5B26">
            <w:pPr>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lastRenderedPageBreak/>
              <w:t>20</w:t>
            </w:r>
          </w:p>
        </w:tc>
        <w:tc>
          <w:tcPr>
            <w:tcW w:w="701" w:type="dxa"/>
          </w:tcPr>
          <w:p w:rsidR="00506B2D" w:rsidRDefault="008C5B26">
            <w:pPr>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2020</w:t>
            </w:r>
          </w:p>
        </w:tc>
        <w:tc>
          <w:tcPr>
            <w:tcW w:w="1150" w:type="dxa"/>
          </w:tcPr>
          <w:p w:rsidR="00506B2D" w:rsidRDefault="008C5B26">
            <w:pPr>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PUBLICA</w:t>
            </w:r>
          </w:p>
        </w:tc>
        <w:tc>
          <w:tcPr>
            <w:tcW w:w="2587" w:type="dxa"/>
          </w:tcPr>
          <w:p w:rsidR="00506B2D" w:rsidRDefault="008C5B26">
            <w:pPr>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INSTITUTO COLOMBIANO DE BIENESTAR FAMILIAR</w:t>
            </w:r>
          </w:p>
        </w:tc>
        <w:tc>
          <w:tcPr>
            <w:tcW w:w="1581" w:type="dxa"/>
          </w:tcPr>
          <w:p w:rsidR="00506B2D" w:rsidRDefault="008C5B26">
            <w:pPr>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NEGATIVA</w:t>
            </w:r>
          </w:p>
        </w:tc>
        <w:tc>
          <w:tcPr>
            <w:tcW w:w="2261" w:type="dxa"/>
          </w:tcPr>
          <w:p w:rsidR="00506B2D" w:rsidRDefault="008C5B26">
            <w:pPr>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 </w:t>
            </w:r>
          </w:p>
        </w:tc>
      </w:tr>
      <w:tr w:rsidR="00506B2D">
        <w:trPr>
          <w:trHeight w:val="315"/>
        </w:trPr>
        <w:tc>
          <w:tcPr>
            <w:tcW w:w="548" w:type="dxa"/>
          </w:tcPr>
          <w:p w:rsidR="00506B2D" w:rsidRDefault="008C5B26">
            <w:pPr>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21</w:t>
            </w:r>
          </w:p>
        </w:tc>
        <w:tc>
          <w:tcPr>
            <w:tcW w:w="701" w:type="dxa"/>
          </w:tcPr>
          <w:p w:rsidR="00506B2D" w:rsidRDefault="008C5B26">
            <w:pPr>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2020</w:t>
            </w:r>
          </w:p>
        </w:tc>
        <w:tc>
          <w:tcPr>
            <w:tcW w:w="1150" w:type="dxa"/>
          </w:tcPr>
          <w:p w:rsidR="00506B2D" w:rsidRDefault="008C5B26">
            <w:pPr>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PUBLICA</w:t>
            </w:r>
          </w:p>
        </w:tc>
        <w:tc>
          <w:tcPr>
            <w:tcW w:w="2587" w:type="dxa"/>
          </w:tcPr>
          <w:p w:rsidR="00506B2D" w:rsidRDefault="008C5B26">
            <w:pPr>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MUNICIPIO DE GUADALAJARA DE BUGA - SECRETARIA DE VIVIENDA Y SERVICIOS PUBLICOS</w:t>
            </w:r>
          </w:p>
        </w:tc>
        <w:tc>
          <w:tcPr>
            <w:tcW w:w="1581" w:type="dxa"/>
          </w:tcPr>
          <w:p w:rsidR="00506B2D" w:rsidRDefault="008C5B26">
            <w:pPr>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NEGATIVA</w:t>
            </w:r>
          </w:p>
        </w:tc>
        <w:tc>
          <w:tcPr>
            <w:tcW w:w="2261" w:type="dxa"/>
          </w:tcPr>
          <w:p w:rsidR="00506B2D" w:rsidRDefault="008C5B26">
            <w:pPr>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 </w:t>
            </w:r>
          </w:p>
        </w:tc>
      </w:tr>
    </w:tbl>
    <w:p w:rsidR="00506B2D" w:rsidRDefault="008C5B26">
      <w:pPr>
        <w:widowControl w:val="0"/>
        <w:pBdr>
          <w:top w:val="nil"/>
          <w:left w:val="nil"/>
          <w:bottom w:val="nil"/>
          <w:right w:val="nil"/>
          <w:between w:val="nil"/>
        </w:pBdr>
        <w:spacing w:after="280" w:line="360" w:lineRule="auto"/>
        <w:ind w:left="-142"/>
        <w:jc w:val="center"/>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vertAlign w:val="subscript"/>
        </w:rPr>
        <w:t>Gráfico extraído de respuesta derecho de petición SAE (2020)</w:t>
      </w:r>
    </w:p>
    <w:p w:rsidR="00506B2D" w:rsidRDefault="008C5B26">
      <w:pPr>
        <w:widowControl w:val="0"/>
        <w:pBdr>
          <w:top w:val="nil"/>
          <w:left w:val="nil"/>
          <w:bottom w:val="nil"/>
          <w:right w:val="nil"/>
          <w:between w:val="nil"/>
        </w:pBdr>
        <w:spacing w:before="280" w:after="280"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Como se expuso, las dos normativas disponen el cumplimiento de requisitos o criterios para otorgar a las entidades territoriales, del orden municipal y distrital, acceso a bienes y recursos que facilitarían su labor, sin embargo, la falta de regulación apr</w:t>
      </w:r>
      <w:r>
        <w:rPr>
          <w:rFonts w:ascii="Bookman Old Style" w:eastAsia="Bookman Old Style" w:hAnsi="Bookman Old Style" w:cs="Bookman Old Style"/>
          <w:sz w:val="22"/>
          <w:szCs w:val="22"/>
        </w:rPr>
        <w:t>opiada y las barreras de acceso relacionadas con estos requisitos o criterios necesarios para solicitar estos bienes, limitan la autonomía y desarrollo de las regiones que tienen dentro de su territorialidad bienes inmuebles extintos, siendo estos municipi</w:t>
      </w:r>
      <w:r>
        <w:rPr>
          <w:rFonts w:ascii="Bookman Old Style" w:eastAsia="Bookman Old Style" w:hAnsi="Bookman Old Style" w:cs="Bookman Old Style"/>
          <w:sz w:val="22"/>
          <w:szCs w:val="22"/>
        </w:rPr>
        <w:t>os y distritos los directamente afectados por el flagelo del narcotráfico y los efectos asociados a este.</w:t>
      </w:r>
    </w:p>
    <w:p w:rsidR="00506B2D" w:rsidRDefault="008C5B26">
      <w:pPr>
        <w:widowControl w:val="0"/>
        <w:numPr>
          <w:ilvl w:val="0"/>
          <w:numId w:val="3"/>
        </w:numPr>
        <w:pBdr>
          <w:top w:val="nil"/>
          <w:left w:val="nil"/>
          <w:bottom w:val="nil"/>
          <w:right w:val="nil"/>
          <w:between w:val="nil"/>
        </w:pBdr>
        <w:spacing w:before="280" w:after="280" w:line="360" w:lineRule="auto"/>
        <w:rPr>
          <w:rFonts w:ascii="Bookman Old Style" w:eastAsia="Bookman Old Style" w:hAnsi="Bookman Old Style" w:cs="Bookman Old Style"/>
          <w:color w:val="000000"/>
          <w:sz w:val="22"/>
          <w:szCs w:val="22"/>
        </w:rPr>
      </w:pPr>
      <w:r>
        <w:rPr>
          <w:rFonts w:ascii="Bookman Old Style" w:eastAsia="Bookman Old Style" w:hAnsi="Bookman Old Style" w:cs="Bookman Old Style"/>
          <w:b/>
          <w:color w:val="000000"/>
          <w:sz w:val="22"/>
          <w:szCs w:val="22"/>
        </w:rPr>
        <w:t>ANTECEDENTES</w:t>
      </w:r>
    </w:p>
    <w:p w:rsidR="00506B2D" w:rsidRDefault="008C5B26">
      <w:pPr>
        <w:widowControl w:val="0"/>
        <w:pBdr>
          <w:top w:val="nil"/>
          <w:left w:val="nil"/>
          <w:bottom w:val="nil"/>
          <w:right w:val="nil"/>
          <w:between w:val="nil"/>
        </w:pBdr>
        <w:spacing w:before="280" w:after="280"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La figura de extinción de dominio existe como una excepción a la prohibición de confiscación y está consignada en el artículo 34 de la Constitución bajo los siguientes términos “</w:t>
      </w:r>
      <w:r>
        <w:rPr>
          <w:rFonts w:ascii="Bookman Old Style" w:eastAsia="Bookman Old Style" w:hAnsi="Bookman Old Style" w:cs="Bookman Old Style"/>
          <w:i/>
          <w:sz w:val="22"/>
          <w:szCs w:val="22"/>
        </w:rPr>
        <w:t>No obstante, por sentencia judicial se declarará extinguido el dominio sobre l</w:t>
      </w:r>
      <w:r>
        <w:rPr>
          <w:rFonts w:ascii="Bookman Old Style" w:eastAsia="Bookman Old Style" w:hAnsi="Bookman Old Style" w:cs="Bookman Old Style"/>
          <w:i/>
          <w:sz w:val="22"/>
          <w:szCs w:val="22"/>
        </w:rPr>
        <w:t>os bienes adquiridos, mediante enriquecimiento ilícito en perjuicio del tesoro público o en grave deterioro de la moral social</w:t>
      </w:r>
      <w:r>
        <w:rPr>
          <w:rFonts w:ascii="Bookman Old Style" w:eastAsia="Bookman Old Style" w:hAnsi="Bookman Old Style" w:cs="Bookman Old Style"/>
          <w:sz w:val="22"/>
          <w:szCs w:val="22"/>
        </w:rPr>
        <w:t>.” (Asamblea Nacional Constituyente, 1991)</w:t>
      </w:r>
    </w:p>
    <w:p w:rsidR="00506B2D" w:rsidRDefault="008C5B26">
      <w:pPr>
        <w:widowControl w:val="0"/>
        <w:pBdr>
          <w:top w:val="nil"/>
          <w:left w:val="nil"/>
          <w:bottom w:val="nil"/>
          <w:right w:val="nil"/>
          <w:between w:val="nil"/>
        </w:pBdr>
        <w:spacing w:before="280" w:after="280" w:line="360" w:lineRule="auto"/>
        <w:ind w:left="-142"/>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sz w:val="22"/>
          <w:szCs w:val="22"/>
        </w:rPr>
        <w:t>Fue pensado como un mecanismo que busca enfrentar la grave proliferación de conductas i</w:t>
      </w:r>
      <w:r>
        <w:rPr>
          <w:rFonts w:ascii="Bookman Old Style" w:eastAsia="Bookman Old Style" w:hAnsi="Bookman Old Style" w:cs="Bookman Old Style"/>
          <w:sz w:val="22"/>
          <w:szCs w:val="22"/>
        </w:rPr>
        <w:t>lícitas de muy diverso origen –en particular, el narcotráfico- y formas de delincuencia organizada a lo que se suma, el alto grado de corrupción que para el momento en que se convocó la Asamblea Nacional Constituyente, se había apoderado de la sociedad col</w:t>
      </w:r>
      <w:r>
        <w:rPr>
          <w:rFonts w:ascii="Bookman Old Style" w:eastAsia="Bookman Old Style" w:hAnsi="Bookman Old Style" w:cs="Bookman Old Style"/>
          <w:sz w:val="22"/>
          <w:szCs w:val="22"/>
        </w:rPr>
        <w:t>ombiana (Corte Constitucional, 2014)</w:t>
      </w:r>
    </w:p>
    <w:p w:rsidR="00506B2D" w:rsidRDefault="008C5B26">
      <w:pPr>
        <w:widowControl w:val="0"/>
        <w:pBdr>
          <w:top w:val="nil"/>
          <w:left w:val="nil"/>
          <w:bottom w:val="nil"/>
          <w:right w:val="nil"/>
          <w:between w:val="nil"/>
        </w:pBdr>
        <w:spacing w:before="280" w:after="280" w:line="360" w:lineRule="auto"/>
        <w:ind w:left="-142"/>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sz w:val="22"/>
          <w:szCs w:val="22"/>
        </w:rPr>
        <w:t>Se trata de una acción de rango constitucional al igual que la Acción de Tutela o la Acción de Cumplimiento, es una acción autónoma pues se adelanta sin consideración del ejercicio del ius puniendi del Estado. Es una ac</w:t>
      </w:r>
      <w:r>
        <w:rPr>
          <w:rFonts w:ascii="Bookman Old Style" w:eastAsia="Bookman Old Style" w:hAnsi="Bookman Old Style" w:cs="Bookman Old Style"/>
          <w:sz w:val="22"/>
          <w:szCs w:val="22"/>
        </w:rPr>
        <w:t xml:space="preserve">ción real por </w:t>
      </w:r>
      <w:r>
        <w:rPr>
          <w:rFonts w:ascii="Bookman Old Style" w:eastAsia="Bookman Old Style" w:hAnsi="Bookman Old Style" w:cs="Bookman Old Style"/>
          <w:sz w:val="22"/>
          <w:szCs w:val="22"/>
        </w:rPr>
        <w:lastRenderedPageBreak/>
        <w:t>cuanto no persigue a la persona sino a los bienes producto de actividades delictivas, y finalmente es una acción pública, judicial y directa. (Tobar, 2014)</w:t>
      </w:r>
    </w:p>
    <w:p w:rsidR="00506B2D" w:rsidRDefault="008C5B26">
      <w:pPr>
        <w:widowControl w:val="0"/>
        <w:pBdr>
          <w:top w:val="nil"/>
          <w:left w:val="nil"/>
          <w:bottom w:val="nil"/>
          <w:right w:val="nil"/>
          <w:between w:val="nil"/>
        </w:pBdr>
        <w:spacing w:before="280" w:after="280" w:line="360" w:lineRule="auto"/>
        <w:ind w:left="-142"/>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sz w:val="22"/>
          <w:szCs w:val="22"/>
        </w:rPr>
        <w:t>La Constitución de 1991 establece tres causales que llevan a la pérdida del derecho de</w:t>
      </w:r>
      <w:r>
        <w:rPr>
          <w:rFonts w:ascii="Bookman Old Style" w:eastAsia="Bookman Old Style" w:hAnsi="Bookman Old Style" w:cs="Bookman Old Style"/>
          <w:sz w:val="22"/>
          <w:szCs w:val="22"/>
        </w:rPr>
        <w:t xml:space="preserve"> dominio: i) el enriquecimiento ilícito, ii) atentar contra el Tesoro Público; y iii) grave deterioro de la moral social. Sin embargo, como lo ha señalado la Corte Constitucional, dichas causales necesitan de un desarrollo legislativo, enmarcado dentro de </w:t>
      </w:r>
      <w:r>
        <w:rPr>
          <w:rFonts w:ascii="Bookman Old Style" w:eastAsia="Bookman Old Style" w:hAnsi="Bookman Old Style" w:cs="Bookman Old Style"/>
          <w:sz w:val="22"/>
          <w:szCs w:val="22"/>
        </w:rPr>
        <w:t>los límites de los artículos 34 y 58 superiores, en respuesta a las necesidades históricas, sociales y económicas por las que atraviesa la sociedad, con el fin de definir el tipo de conductas que se enmarcan en cada una de las causales generales consagrada</w:t>
      </w:r>
      <w:r>
        <w:rPr>
          <w:rFonts w:ascii="Bookman Old Style" w:eastAsia="Bookman Old Style" w:hAnsi="Bookman Old Style" w:cs="Bookman Old Style"/>
          <w:sz w:val="22"/>
          <w:szCs w:val="22"/>
        </w:rPr>
        <w:t>s en la Constitución. (Corte Constitucional, 2014).</w:t>
      </w:r>
    </w:p>
    <w:p w:rsidR="00506B2D" w:rsidRDefault="008C5B26">
      <w:pPr>
        <w:numPr>
          <w:ilvl w:val="0"/>
          <w:numId w:val="3"/>
        </w:numPr>
        <w:pBdr>
          <w:top w:val="nil"/>
          <w:left w:val="nil"/>
          <w:bottom w:val="nil"/>
          <w:right w:val="nil"/>
          <w:between w:val="nil"/>
        </w:pBdr>
        <w:spacing w:after="160" w:line="360" w:lineRule="auto"/>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b/>
          <w:color w:val="000000"/>
          <w:sz w:val="22"/>
          <w:szCs w:val="22"/>
        </w:rPr>
        <w:t>MARCO NORMATIVO</w:t>
      </w:r>
    </w:p>
    <w:p w:rsidR="00506B2D" w:rsidRDefault="008C5B26">
      <w:pPr>
        <w:pBdr>
          <w:top w:val="nil"/>
          <w:left w:val="nil"/>
          <w:bottom w:val="nil"/>
          <w:right w:val="nil"/>
          <w:between w:val="nil"/>
        </w:pBdr>
        <w:spacing w:after="160" w:line="360" w:lineRule="auto"/>
        <w:ind w:left="-142"/>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b/>
          <w:color w:val="000000"/>
          <w:sz w:val="22"/>
          <w:szCs w:val="22"/>
        </w:rPr>
        <w:t>5.1 Relacionado con la Extinción de Dominio.</w:t>
      </w:r>
    </w:p>
    <w:p w:rsidR="00506B2D" w:rsidRDefault="008C5B26">
      <w:pPr>
        <w:pBdr>
          <w:top w:val="nil"/>
          <w:left w:val="nil"/>
          <w:bottom w:val="nil"/>
          <w:right w:val="nil"/>
          <w:between w:val="nil"/>
        </w:pBdr>
        <w:spacing w:after="160" w:line="360" w:lineRule="auto"/>
        <w:ind w:left="-142"/>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En desarrollo de la acción de extinción de dominio el legislador ha expedido las leyes 333 de 1996, 793 de 2002 que dejaron de regir a partir de la entrada en vigor de la ley 1708 de 2014, denominado Código Nacional de Extinción de Dominio (en adelante CNE</w:t>
      </w:r>
      <w:r>
        <w:rPr>
          <w:rFonts w:ascii="Bookman Old Style" w:eastAsia="Bookman Old Style" w:hAnsi="Bookman Old Style" w:cs="Bookman Old Style"/>
          <w:color w:val="000000"/>
          <w:sz w:val="22"/>
          <w:szCs w:val="22"/>
        </w:rPr>
        <w:t xml:space="preserve">D) (Velásquez Jaramillo, 2014), sin embargo, el marco normativo es más amplio. </w:t>
      </w:r>
    </w:p>
    <w:p w:rsidR="00506B2D" w:rsidRDefault="008C5B26">
      <w:pPr>
        <w:pBdr>
          <w:top w:val="nil"/>
          <w:left w:val="nil"/>
          <w:bottom w:val="nil"/>
          <w:right w:val="nil"/>
          <w:between w:val="nil"/>
        </w:pBdr>
        <w:spacing w:after="160" w:line="360" w:lineRule="auto"/>
        <w:ind w:left="-142"/>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En desarrollo del artículo 91 del CNED, se expidió la ley 1849 de 2017 que a través del artículo 22 modificó la distribución de los recursos provenientes de la venta, administr</w:t>
      </w:r>
      <w:r>
        <w:rPr>
          <w:rFonts w:ascii="Bookman Old Style" w:eastAsia="Bookman Old Style" w:hAnsi="Bookman Old Style" w:cs="Bookman Old Style"/>
          <w:color w:val="000000"/>
          <w:sz w:val="22"/>
          <w:szCs w:val="22"/>
        </w:rPr>
        <w:t xml:space="preserve">ación o contratación de los bienes extintos a través del fondo para la rehabilitación, inversión social y la lucha contra el crimen organizado (FRISCO). </w:t>
      </w:r>
    </w:p>
    <w:p w:rsidR="00506B2D" w:rsidRDefault="008C5B26">
      <w:pPr>
        <w:pBdr>
          <w:top w:val="nil"/>
          <w:left w:val="nil"/>
          <w:bottom w:val="nil"/>
          <w:right w:val="nil"/>
          <w:between w:val="nil"/>
        </w:pBdr>
        <w:spacing w:after="160" w:line="360" w:lineRule="auto"/>
        <w:ind w:left="-142"/>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Simultáneamente este artículo ha sido adicionado parcialmente por los artículos 109 y 158 de la ley 17</w:t>
      </w:r>
      <w:r>
        <w:rPr>
          <w:rFonts w:ascii="Bookman Old Style" w:eastAsia="Bookman Old Style" w:hAnsi="Bookman Old Style" w:cs="Bookman Old Style"/>
          <w:color w:val="000000"/>
          <w:sz w:val="22"/>
          <w:szCs w:val="22"/>
        </w:rPr>
        <w:t>53 de 2015 y modificado parcialmente (</w:t>
      </w:r>
      <w:r>
        <w:rPr>
          <w:rFonts w:ascii="Bookman Old Style" w:eastAsia="Bookman Old Style" w:hAnsi="Bookman Old Style" w:cs="Bookman Old Style"/>
          <w:sz w:val="22"/>
          <w:szCs w:val="22"/>
        </w:rPr>
        <w:t>adiciona</w:t>
      </w:r>
      <w:r>
        <w:rPr>
          <w:rFonts w:ascii="Bookman Old Style" w:eastAsia="Bookman Old Style" w:hAnsi="Bookman Old Style" w:cs="Bookman Old Style"/>
          <w:color w:val="000000"/>
          <w:sz w:val="22"/>
          <w:szCs w:val="22"/>
        </w:rPr>
        <w:t xml:space="preserve"> un parágrafo) por el artículo 283 de la ley 1955 de 2019.</w:t>
      </w:r>
    </w:p>
    <w:p w:rsidR="00506B2D" w:rsidRDefault="008C5B26">
      <w:pPr>
        <w:pBdr>
          <w:top w:val="nil"/>
          <w:left w:val="nil"/>
          <w:bottom w:val="nil"/>
          <w:right w:val="nil"/>
          <w:between w:val="nil"/>
        </w:pBdr>
        <w:spacing w:after="160" w:line="360" w:lineRule="auto"/>
        <w:ind w:left="-142"/>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b/>
          <w:color w:val="000000"/>
          <w:sz w:val="22"/>
          <w:szCs w:val="22"/>
        </w:rPr>
        <w:t>5.2</w:t>
      </w:r>
      <w:r>
        <w:rPr>
          <w:rFonts w:ascii="Bookman Old Style" w:eastAsia="Bookman Old Style" w:hAnsi="Bookman Old Style" w:cs="Bookman Old Style"/>
          <w:color w:val="000000"/>
          <w:sz w:val="22"/>
          <w:szCs w:val="22"/>
        </w:rPr>
        <w:t xml:space="preserve"> </w:t>
      </w:r>
      <w:r>
        <w:rPr>
          <w:rFonts w:ascii="Bookman Old Style" w:eastAsia="Bookman Old Style" w:hAnsi="Bookman Old Style" w:cs="Bookman Old Style"/>
          <w:b/>
          <w:color w:val="000000"/>
          <w:sz w:val="22"/>
          <w:szCs w:val="22"/>
        </w:rPr>
        <w:t xml:space="preserve">Relacionado con la </w:t>
      </w:r>
      <w:r>
        <w:rPr>
          <w:rFonts w:ascii="Bookman Old Style" w:eastAsia="Bookman Old Style" w:hAnsi="Bookman Old Style" w:cs="Bookman Old Style"/>
          <w:b/>
          <w:sz w:val="22"/>
          <w:szCs w:val="22"/>
        </w:rPr>
        <w:t>cesión</w:t>
      </w:r>
      <w:r>
        <w:rPr>
          <w:rFonts w:ascii="Bookman Old Style" w:eastAsia="Bookman Old Style" w:hAnsi="Bookman Old Style" w:cs="Bookman Old Style"/>
          <w:b/>
          <w:color w:val="000000"/>
          <w:sz w:val="22"/>
          <w:szCs w:val="22"/>
        </w:rPr>
        <w:t xml:space="preserve"> a título gratuito y donación entre entidades públicas.</w:t>
      </w:r>
    </w:p>
    <w:p w:rsidR="00506B2D" w:rsidRDefault="008C5B26">
      <w:pPr>
        <w:pBdr>
          <w:top w:val="nil"/>
          <w:left w:val="nil"/>
          <w:bottom w:val="nil"/>
          <w:right w:val="nil"/>
          <w:between w:val="nil"/>
        </w:pBdr>
        <w:spacing w:after="160" w:line="360" w:lineRule="auto"/>
        <w:ind w:left="-142"/>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lastRenderedPageBreak/>
        <w:t xml:space="preserve">Principalmente existen dos normas que se refieren a la donación o </w:t>
      </w:r>
      <w:r>
        <w:rPr>
          <w:rFonts w:ascii="Bookman Old Style" w:eastAsia="Bookman Old Style" w:hAnsi="Bookman Old Style" w:cs="Bookman Old Style"/>
          <w:color w:val="000000"/>
          <w:sz w:val="22"/>
          <w:szCs w:val="22"/>
        </w:rPr>
        <w:t>transferencia entre entidades públicas a título gratuito de bienes inmuebles. Por un lado, la Ley 1551 del 2012 que en su artículo 48 establece:</w:t>
      </w:r>
    </w:p>
    <w:p w:rsidR="00506B2D" w:rsidRDefault="008C5B26">
      <w:pPr>
        <w:spacing w:after="240" w:line="360" w:lineRule="auto"/>
        <w:ind w:left="567"/>
        <w:jc w:val="both"/>
        <w:rPr>
          <w:rFonts w:ascii="Bookman Old Style" w:eastAsia="Bookman Old Style" w:hAnsi="Bookman Old Style" w:cs="Bookman Old Style"/>
          <w:i/>
          <w:color w:val="000000"/>
          <w:sz w:val="22"/>
          <w:szCs w:val="22"/>
        </w:rPr>
      </w:pPr>
      <w:r>
        <w:rPr>
          <w:rFonts w:ascii="Bookman Old Style" w:eastAsia="Bookman Old Style" w:hAnsi="Bookman Old Style" w:cs="Bookman Old Style"/>
          <w:i/>
          <w:color w:val="000000"/>
          <w:sz w:val="22"/>
          <w:szCs w:val="22"/>
        </w:rPr>
        <w:t xml:space="preserve">“Las entidades públicas del orden nacional deberán ceder mediante resolución administrativa a título gratuito a las entidades del orden municipal o distrital en las cuales se hallen ubicados los bienes o los terrenos de su propiedad, que actualmente estén </w:t>
      </w:r>
      <w:r>
        <w:rPr>
          <w:rFonts w:ascii="Bookman Old Style" w:eastAsia="Bookman Old Style" w:hAnsi="Bookman Old Style" w:cs="Bookman Old Style"/>
          <w:i/>
          <w:color w:val="000000"/>
          <w:sz w:val="22"/>
          <w:szCs w:val="22"/>
        </w:rPr>
        <w:t>destinados o tengan vocación de uso público o zonas de cesión.”.</w:t>
      </w:r>
    </w:p>
    <w:p w:rsidR="00506B2D" w:rsidRDefault="008C5B26">
      <w:pPr>
        <w:spacing w:after="240" w:line="360" w:lineRule="auto"/>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En segundo lugar, encontramos el Decreto 1068 del 2015 el cual establece: </w:t>
      </w:r>
    </w:p>
    <w:p w:rsidR="00506B2D" w:rsidRDefault="008C5B26">
      <w:pPr>
        <w:spacing w:after="240" w:line="360" w:lineRule="auto"/>
        <w:ind w:left="567" w:hanging="142"/>
        <w:jc w:val="both"/>
        <w:rPr>
          <w:rFonts w:ascii="Bookman Old Style" w:eastAsia="Bookman Old Style" w:hAnsi="Bookman Old Style" w:cs="Bookman Old Style"/>
          <w:i/>
          <w:color w:val="000000"/>
          <w:sz w:val="22"/>
          <w:szCs w:val="22"/>
        </w:rPr>
      </w:pPr>
      <w:r>
        <w:rPr>
          <w:rFonts w:ascii="Bookman Old Style" w:eastAsia="Bookman Old Style" w:hAnsi="Bookman Old Style" w:cs="Bookman Old Style"/>
          <w:i/>
          <w:color w:val="000000"/>
          <w:sz w:val="22"/>
          <w:szCs w:val="22"/>
        </w:rPr>
        <w:t>“ARTÍCULO       2.5.5.8.1. La donación entre entidades públicas procederá siempre y cuando puedan asignarse a los po</w:t>
      </w:r>
      <w:r>
        <w:rPr>
          <w:rFonts w:ascii="Bookman Old Style" w:eastAsia="Bookman Old Style" w:hAnsi="Bookman Old Style" w:cs="Bookman Old Style"/>
          <w:i/>
          <w:color w:val="000000"/>
          <w:sz w:val="22"/>
          <w:szCs w:val="22"/>
        </w:rPr>
        <w:t>rcentajes señalados en el artículo 91 de la Ley 1708 de 2014, sobre los bienes a los cuales se les haya decretado mediante sentencia judicial debidamente ejecutoriada, la extinción de dominio del 100% del bien a favor del Frisco, de conformidad con las reg</w:t>
      </w:r>
      <w:r>
        <w:rPr>
          <w:rFonts w:ascii="Bookman Old Style" w:eastAsia="Bookman Old Style" w:hAnsi="Bookman Old Style" w:cs="Bookman Old Style"/>
          <w:i/>
          <w:color w:val="000000"/>
          <w:sz w:val="22"/>
          <w:szCs w:val="22"/>
        </w:rPr>
        <w:t xml:space="preserve">las establecidas en el presente capítulo.” </w:t>
      </w:r>
    </w:p>
    <w:p w:rsidR="00506B2D" w:rsidRDefault="008C5B26">
      <w:pPr>
        <w:spacing w:after="240" w:line="360" w:lineRule="auto"/>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Adicionalmente, establece una serie de criterios para la procedencia de la donación, de los cuales debe decirse, son un obstáculo para que las entidades territoriales adquieran los bienes. Así están enunciados:</w:t>
      </w:r>
    </w:p>
    <w:p w:rsidR="00506B2D" w:rsidRDefault="008C5B26">
      <w:pPr>
        <w:spacing w:after="240" w:line="360" w:lineRule="auto"/>
        <w:ind w:left="709" w:hanging="142"/>
        <w:jc w:val="both"/>
        <w:rPr>
          <w:rFonts w:ascii="Bookman Old Style" w:eastAsia="Bookman Old Style" w:hAnsi="Bookman Old Style" w:cs="Bookman Old Style"/>
          <w:i/>
          <w:color w:val="000000"/>
          <w:sz w:val="22"/>
          <w:szCs w:val="22"/>
        </w:rPr>
      </w:pPr>
      <w:r>
        <w:rPr>
          <w:rFonts w:ascii="Bookman Old Style" w:eastAsia="Bookman Old Style" w:hAnsi="Bookman Old Style" w:cs="Bookman Old Style"/>
          <w:i/>
          <w:color w:val="000000"/>
          <w:sz w:val="22"/>
          <w:szCs w:val="22"/>
        </w:rPr>
        <w:t xml:space="preserve"> </w:t>
      </w:r>
      <w:r>
        <w:rPr>
          <w:rFonts w:ascii="Bookman Old Style" w:eastAsia="Bookman Old Style" w:hAnsi="Bookman Old Style" w:cs="Bookman Old Style"/>
          <w:i/>
          <w:color w:val="000000"/>
          <w:sz w:val="22"/>
          <w:szCs w:val="22"/>
        </w:rPr>
        <w:t xml:space="preserve">“Artículo 2.5.5.8.2. Criterios para la procedencia de la donación. La entidad pública interesada en la donación del bien solicitado deberá elaborar un proyecto que establezca:  </w:t>
      </w:r>
    </w:p>
    <w:p w:rsidR="00506B2D" w:rsidRDefault="008C5B26">
      <w:pPr>
        <w:spacing w:after="240" w:line="360" w:lineRule="auto"/>
        <w:ind w:left="709" w:hanging="142"/>
        <w:jc w:val="both"/>
        <w:rPr>
          <w:rFonts w:ascii="Bookman Old Style" w:eastAsia="Bookman Old Style" w:hAnsi="Bookman Old Style" w:cs="Bookman Old Style"/>
          <w:i/>
          <w:color w:val="000000"/>
          <w:sz w:val="22"/>
          <w:szCs w:val="22"/>
        </w:rPr>
      </w:pPr>
      <w:r>
        <w:rPr>
          <w:rFonts w:ascii="Bookman Old Style" w:eastAsia="Bookman Old Style" w:hAnsi="Bookman Old Style" w:cs="Bookman Old Style"/>
          <w:i/>
          <w:color w:val="000000"/>
          <w:sz w:val="22"/>
          <w:szCs w:val="22"/>
        </w:rPr>
        <w:t>- La necesidad para la entidad de utilizar este bien para programas y activida</w:t>
      </w:r>
      <w:r>
        <w:rPr>
          <w:rFonts w:ascii="Bookman Old Style" w:eastAsia="Bookman Old Style" w:hAnsi="Bookman Old Style" w:cs="Bookman Old Style"/>
          <w:i/>
          <w:color w:val="000000"/>
          <w:sz w:val="22"/>
          <w:szCs w:val="22"/>
        </w:rPr>
        <w:t xml:space="preserve">des de interés público en desarrollo de su objeto misional.  </w:t>
      </w:r>
    </w:p>
    <w:p w:rsidR="00506B2D" w:rsidRDefault="008C5B26">
      <w:pPr>
        <w:spacing w:after="240" w:line="360" w:lineRule="auto"/>
        <w:ind w:left="709" w:hanging="142"/>
        <w:jc w:val="both"/>
        <w:rPr>
          <w:rFonts w:ascii="Bookman Old Style" w:eastAsia="Bookman Old Style" w:hAnsi="Bookman Old Style" w:cs="Bookman Old Style"/>
          <w:i/>
          <w:color w:val="000000"/>
          <w:sz w:val="22"/>
          <w:szCs w:val="22"/>
        </w:rPr>
      </w:pPr>
      <w:r>
        <w:rPr>
          <w:rFonts w:ascii="Bookman Old Style" w:eastAsia="Bookman Old Style" w:hAnsi="Bookman Old Style" w:cs="Bookman Old Style"/>
          <w:i/>
          <w:color w:val="000000"/>
          <w:sz w:val="22"/>
          <w:szCs w:val="22"/>
        </w:rPr>
        <w:t xml:space="preserve">- El documento en el que conste que el Proyecto de Donación que se pretende adelantar está autorizado por la Asamblea Departamental o el Consejo Municipal, en caso de entidades territoriales, o </w:t>
      </w:r>
      <w:r>
        <w:rPr>
          <w:rFonts w:ascii="Bookman Old Style" w:eastAsia="Bookman Old Style" w:hAnsi="Bookman Old Style" w:cs="Bookman Old Style"/>
          <w:i/>
          <w:color w:val="000000"/>
          <w:sz w:val="22"/>
          <w:szCs w:val="22"/>
        </w:rPr>
        <w:t xml:space="preserve">la autorización del Representante Legal o máximo órgano de administración en el caso de Entidades Públicas.  </w:t>
      </w:r>
    </w:p>
    <w:p w:rsidR="00506B2D" w:rsidRDefault="008C5B26">
      <w:pPr>
        <w:spacing w:after="240" w:line="360" w:lineRule="auto"/>
        <w:ind w:left="709" w:hanging="142"/>
        <w:jc w:val="both"/>
        <w:rPr>
          <w:rFonts w:ascii="Bookman Old Style" w:eastAsia="Bookman Old Style" w:hAnsi="Bookman Old Style" w:cs="Bookman Old Style"/>
          <w:i/>
          <w:color w:val="000000"/>
          <w:sz w:val="22"/>
          <w:szCs w:val="22"/>
        </w:rPr>
      </w:pPr>
      <w:r>
        <w:rPr>
          <w:rFonts w:ascii="Bookman Old Style" w:eastAsia="Bookman Old Style" w:hAnsi="Bookman Old Style" w:cs="Bookman Old Style"/>
          <w:i/>
          <w:color w:val="000000"/>
          <w:sz w:val="22"/>
          <w:szCs w:val="22"/>
        </w:rPr>
        <w:lastRenderedPageBreak/>
        <w:t xml:space="preserve">- Indicar el porcentaje de destinación contemplado en el artículo 91 de la Ley 1708 de 2014, al cual será imputado. </w:t>
      </w:r>
    </w:p>
    <w:p w:rsidR="00506B2D" w:rsidRDefault="008C5B26">
      <w:pPr>
        <w:spacing w:after="240" w:line="360" w:lineRule="auto"/>
        <w:ind w:left="709"/>
        <w:jc w:val="both"/>
        <w:rPr>
          <w:rFonts w:ascii="Bookman Old Style" w:eastAsia="Bookman Old Style" w:hAnsi="Bookman Old Style" w:cs="Bookman Old Style"/>
          <w:i/>
          <w:color w:val="000000"/>
          <w:sz w:val="22"/>
          <w:szCs w:val="22"/>
        </w:rPr>
      </w:pPr>
      <w:r>
        <w:rPr>
          <w:rFonts w:ascii="Bookman Old Style" w:eastAsia="Bookman Old Style" w:hAnsi="Bookman Old Style" w:cs="Bookman Old Style"/>
          <w:i/>
          <w:color w:val="000000"/>
          <w:sz w:val="22"/>
          <w:szCs w:val="22"/>
        </w:rPr>
        <w:t xml:space="preserve">El administrador del FRISCO para determinar la procedencia de la donación establecerá:  </w:t>
      </w:r>
    </w:p>
    <w:p w:rsidR="00506B2D" w:rsidRDefault="008C5B26">
      <w:pPr>
        <w:spacing w:after="240" w:line="360" w:lineRule="auto"/>
        <w:ind w:left="709" w:hanging="142"/>
        <w:jc w:val="both"/>
        <w:rPr>
          <w:rFonts w:ascii="Bookman Old Style" w:eastAsia="Bookman Old Style" w:hAnsi="Bookman Old Style" w:cs="Bookman Old Style"/>
          <w:i/>
          <w:color w:val="000000"/>
          <w:sz w:val="22"/>
          <w:szCs w:val="22"/>
        </w:rPr>
      </w:pPr>
      <w:r>
        <w:rPr>
          <w:rFonts w:ascii="Bookman Old Style" w:eastAsia="Bookman Old Style" w:hAnsi="Bookman Old Style" w:cs="Bookman Old Style"/>
          <w:i/>
          <w:color w:val="000000"/>
          <w:sz w:val="22"/>
          <w:szCs w:val="22"/>
        </w:rPr>
        <w:t>- Que el bien no cuente con un alto potencial de venta por parte del Administrador del FRISCO, para lo cual deberá contar con el respectivo concepto técnico de la SAE.</w:t>
      </w:r>
      <w:r>
        <w:rPr>
          <w:rFonts w:ascii="Bookman Old Style" w:eastAsia="Bookman Old Style" w:hAnsi="Bookman Old Style" w:cs="Bookman Old Style"/>
          <w:i/>
          <w:color w:val="000000"/>
          <w:sz w:val="22"/>
          <w:szCs w:val="22"/>
        </w:rPr>
        <w:t xml:space="preserve">  </w:t>
      </w:r>
    </w:p>
    <w:p w:rsidR="00506B2D" w:rsidRDefault="008C5B26">
      <w:pPr>
        <w:spacing w:after="240" w:line="360" w:lineRule="auto"/>
        <w:ind w:left="709" w:hanging="142"/>
        <w:jc w:val="both"/>
        <w:rPr>
          <w:rFonts w:ascii="Bookman Old Style" w:eastAsia="Bookman Old Style" w:hAnsi="Bookman Old Style" w:cs="Bookman Old Style"/>
          <w:i/>
          <w:color w:val="000000"/>
          <w:sz w:val="22"/>
          <w:szCs w:val="22"/>
        </w:rPr>
      </w:pPr>
      <w:r>
        <w:rPr>
          <w:rFonts w:ascii="Bookman Old Style" w:eastAsia="Bookman Old Style" w:hAnsi="Bookman Old Style" w:cs="Bookman Old Style"/>
          <w:i/>
          <w:color w:val="000000"/>
          <w:sz w:val="22"/>
          <w:szCs w:val="22"/>
        </w:rPr>
        <w:t xml:space="preserve">- Que el bien no se encuentre dentro de un acuerdo de comercialización en curso para su enajenación, para lo cual deberá contar con el respectivo concepto co­mercial de la SAE.  </w:t>
      </w:r>
    </w:p>
    <w:p w:rsidR="00506B2D" w:rsidRDefault="008C5B26">
      <w:pPr>
        <w:spacing w:after="240" w:line="360" w:lineRule="auto"/>
        <w:ind w:left="709" w:hanging="142"/>
        <w:jc w:val="both"/>
        <w:rPr>
          <w:rFonts w:ascii="Bookman Old Style" w:eastAsia="Bookman Old Style" w:hAnsi="Bookman Old Style" w:cs="Bookman Old Style"/>
          <w:i/>
          <w:color w:val="000000"/>
          <w:sz w:val="22"/>
          <w:szCs w:val="22"/>
        </w:rPr>
      </w:pPr>
      <w:r>
        <w:rPr>
          <w:rFonts w:ascii="Bookman Old Style" w:eastAsia="Bookman Old Style" w:hAnsi="Bookman Old Style" w:cs="Bookman Old Style"/>
          <w:i/>
          <w:color w:val="000000"/>
          <w:sz w:val="22"/>
          <w:szCs w:val="22"/>
        </w:rPr>
        <w:t xml:space="preserve">- Que el bien no sea objeto de las destinaciones específicas establecidas </w:t>
      </w:r>
      <w:r>
        <w:rPr>
          <w:rFonts w:ascii="Bookman Old Style" w:eastAsia="Bookman Old Style" w:hAnsi="Bookman Old Style" w:cs="Bookman Old Style"/>
          <w:i/>
          <w:color w:val="000000"/>
          <w:sz w:val="22"/>
          <w:szCs w:val="22"/>
        </w:rPr>
        <w:t xml:space="preserve">en las diferentes leyes.  </w:t>
      </w:r>
    </w:p>
    <w:p w:rsidR="00506B2D" w:rsidRDefault="008C5B26">
      <w:pPr>
        <w:spacing w:after="240" w:line="360" w:lineRule="auto"/>
        <w:ind w:left="709" w:hanging="142"/>
        <w:jc w:val="both"/>
        <w:rPr>
          <w:rFonts w:ascii="Bookman Old Style" w:eastAsia="Bookman Old Style" w:hAnsi="Bookman Old Style" w:cs="Bookman Old Style"/>
          <w:i/>
          <w:color w:val="000000"/>
          <w:sz w:val="22"/>
          <w:szCs w:val="22"/>
        </w:rPr>
      </w:pPr>
      <w:r>
        <w:rPr>
          <w:rFonts w:ascii="Bookman Old Style" w:eastAsia="Bookman Old Style" w:hAnsi="Bookman Old Style" w:cs="Bookman Old Style"/>
          <w:i/>
          <w:color w:val="000000"/>
          <w:sz w:val="22"/>
          <w:szCs w:val="22"/>
        </w:rPr>
        <w:t xml:space="preserve">- Que el bien no sea objeto de solicitud en el marco de un convenio de compartición de bienes con un gobierno extranjero.  </w:t>
      </w:r>
    </w:p>
    <w:p w:rsidR="00506B2D" w:rsidRDefault="008C5B26">
      <w:pPr>
        <w:spacing w:after="240" w:line="360" w:lineRule="auto"/>
        <w:ind w:left="709" w:hanging="142"/>
        <w:jc w:val="both"/>
        <w:rPr>
          <w:rFonts w:ascii="Bookman Old Style" w:eastAsia="Bookman Old Style" w:hAnsi="Bookman Old Style" w:cs="Bookman Old Style"/>
          <w:i/>
          <w:color w:val="000000"/>
          <w:sz w:val="22"/>
          <w:szCs w:val="22"/>
        </w:rPr>
      </w:pPr>
      <w:r>
        <w:rPr>
          <w:rFonts w:ascii="Bookman Old Style" w:eastAsia="Bookman Old Style" w:hAnsi="Bookman Old Style" w:cs="Bookman Old Style"/>
          <w:i/>
          <w:color w:val="000000"/>
          <w:sz w:val="22"/>
          <w:szCs w:val="22"/>
        </w:rPr>
        <w:t>- En caso de bienes rurales será procedente, siempre y cuando, las entidades bene­ficiarias de destinacio</w:t>
      </w:r>
      <w:r>
        <w:rPr>
          <w:rFonts w:ascii="Bookman Old Style" w:eastAsia="Bookman Old Style" w:hAnsi="Bookman Old Style" w:cs="Bookman Old Style"/>
          <w:i/>
          <w:color w:val="000000"/>
          <w:sz w:val="22"/>
          <w:szCs w:val="22"/>
        </w:rPr>
        <w:t>nes específicas previstas en leyes especiales manifiesten su desinterés en la adjudicación.”</w:t>
      </w:r>
    </w:p>
    <w:p w:rsidR="00506B2D" w:rsidRDefault="008C5B26">
      <w:pPr>
        <w:numPr>
          <w:ilvl w:val="0"/>
          <w:numId w:val="3"/>
        </w:numPr>
        <w:pBdr>
          <w:top w:val="nil"/>
          <w:left w:val="nil"/>
          <w:bottom w:val="nil"/>
          <w:right w:val="nil"/>
          <w:between w:val="nil"/>
        </w:pBdr>
        <w:spacing w:line="360" w:lineRule="auto"/>
        <w:rPr>
          <w:rFonts w:ascii="Bookman Old Style" w:eastAsia="Bookman Old Style" w:hAnsi="Bookman Old Style" w:cs="Bookman Old Style"/>
          <w:b/>
          <w:color w:val="0D0D0D"/>
          <w:sz w:val="22"/>
          <w:szCs w:val="22"/>
        </w:rPr>
      </w:pPr>
      <w:r>
        <w:rPr>
          <w:rFonts w:ascii="Bookman Old Style" w:eastAsia="Bookman Old Style" w:hAnsi="Bookman Old Style" w:cs="Bookman Old Style"/>
          <w:b/>
          <w:color w:val="0D0D0D"/>
          <w:sz w:val="22"/>
          <w:szCs w:val="22"/>
        </w:rPr>
        <w:t>SITUACIÓN ACTUAL</w:t>
      </w:r>
    </w:p>
    <w:p w:rsidR="00506B2D" w:rsidRDefault="008C5B26">
      <w:pPr>
        <w:spacing w:line="360" w:lineRule="auto"/>
        <w:ind w:left="-142"/>
        <w:rPr>
          <w:rFonts w:ascii="Bookman Old Style" w:eastAsia="Bookman Old Style" w:hAnsi="Bookman Old Style" w:cs="Bookman Old Style"/>
          <w:b/>
          <w:color w:val="0D0D0D"/>
          <w:sz w:val="22"/>
          <w:szCs w:val="22"/>
        </w:rPr>
      </w:pPr>
      <w:r>
        <w:rPr>
          <w:rFonts w:ascii="Bookman Old Style" w:eastAsia="Bookman Old Style" w:hAnsi="Bookman Old Style" w:cs="Bookman Old Style"/>
          <w:b/>
          <w:color w:val="0D0D0D"/>
          <w:sz w:val="22"/>
          <w:szCs w:val="22"/>
        </w:rPr>
        <w:t>6.</w:t>
      </w:r>
      <w:r>
        <w:rPr>
          <w:rFonts w:ascii="Bookman Old Style" w:eastAsia="Bookman Old Style" w:hAnsi="Bookman Old Style" w:cs="Bookman Old Style"/>
          <w:b/>
          <w:sz w:val="22"/>
          <w:szCs w:val="22"/>
        </w:rPr>
        <w:t xml:space="preserve">1 La geografía del narcotráfico. </w:t>
      </w:r>
    </w:p>
    <w:p w:rsidR="00506B2D" w:rsidRDefault="008C5B26">
      <w:pPr>
        <w:spacing w:after="240"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El narcotráfico fue selectivo con las regiones. Las condiciones geográficas y la falta de presencia efectiva del Estado proliferaron las condiciones para que se desarrollara el negocio del tráfico de estupefacientes. Sin embargo, por la misma expansión que</w:t>
      </w:r>
      <w:r>
        <w:rPr>
          <w:rFonts w:ascii="Bookman Old Style" w:eastAsia="Bookman Old Style" w:hAnsi="Bookman Old Style" w:cs="Bookman Old Style"/>
          <w:sz w:val="22"/>
          <w:szCs w:val="22"/>
        </w:rPr>
        <w:t xml:space="preserve"> representaban las estructuras delictivas, fue abarcando cada vez más áreas en el territorio nacional.</w:t>
      </w:r>
    </w:p>
    <w:p w:rsidR="00506B2D" w:rsidRDefault="008C5B26">
      <w:pPr>
        <w:spacing w:after="240" w:line="360" w:lineRule="auto"/>
        <w:ind w:left="-142"/>
        <w:jc w:val="both"/>
        <w:rPr>
          <w:rFonts w:ascii="Bookman Old Style" w:eastAsia="Bookman Old Style" w:hAnsi="Bookman Old Style" w:cs="Bookman Old Style"/>
          <w:b/>
          <w:color w:val="0D0D0D"/>
          <w:sz w:val="22"/>
          <w:szCs w:val="22"/>
        </w:rPr>
      </w:pPr>
      <w:r>
        <w:rPr>
          <w:rFonts w:ascii="Bookman Old Style" w:eastAsia="Bookman Old Style" w:hAnsi="Bookman Old Style" w:cs="Bookman Old Style"/>
          <w:sz w:val="22"/>
          <w:szCs w:val="22"/>
        </w:rPr>
        <w:t>Se requieren varios procesos y recursos geográficos y humanos para garantizar el efectivo funcionamiento de la cadena delictiva, por esa razón, el impact</w:t>
      </w:r>
      <w:r>
        <w:rPr>
          <w:rFonts w:ascii="Bookman Old Style" w:eastAsia="Bookman Old Style" w:hAnsi="Bookman Old Style" w:cs="Bookman Old Style"/>
          <w:sz w:val="22"/>
          <w:szCs w:val="22"/>
        </w:rPr>
        <w:t xml:space="preserve">o de las redes del narcotráfico se ha desarrollado simultáneamente en varias regiones del país. Los </w:t>
      </w:r>
      <w:r>
        <w:rPr>
          <w:rFonts w:ascii="Bookman Old Style" w:eastAsia="Bookman Old Style" w:hAnsi="Bookman Old Style" w:cs="Bookman Old Style"/>
          <w:sz w:val="22"/>
          <w:szCs w:val="22"/>
        </w:rPr>
        <w:lastRenderedPageBreak/>
        <w:t>campesinos que cultivan la hoja de coca, los productores manuales y artesanales y quienes realizan las operaciones de distribución interna y externa represe</w:t>
      </w:r>
      <w:r>
        <w:rPr>
          <w:rFonts w:ascii="Bookman Old Style" w:eastAsia="Bookman Old Style" w:hAnsi="Bookman Old Style" w:cs="Bookman Old Style"/>
          <w:sz w:val="22"/>
          <w:szCs w:val="22"/>
        </w:rPr>
        <w:t>ntan una economía ilegal ingente con presencia nacional.</w:t>
      </w:r>
    </w:p>
    <w:p w:rsidR="00506B2D" w:rsidRDefault="008C5B26">
      <w:pPr>
        <w:spacing w:after="240" w:line="360" w:lineRule="auto"/>
        <w:ind w:left="-142"/>
        <w:jc w:val="both"/>
        <w:rPr>
          <w:rFonts w:ascii="Bookman Old Style" w:eastAsia="Bookman Old Style" w:hAnsi="Bookman Old Style" w:cs="Bookman Old Style"/>
          <w:b/>
          <w:color w:val="0D0D0D"/>
          <w:sz w:val="22"/>
          <w:szCs w:val="22"/>
        </w:rPr>
      </w:pPr>
      <w:r>
        <w:rPr>
          <w:rFonts w:ascii="Bookman Old Style" w:eastAsia="Bookman Old Style" w:hAnsi="Bookman Old Style" w:cs="Bookman Old Style"/>
          <w:sz w:val="22"/>
          <w:szCs w:val="22"/>
        </w:rPr>
        <w:t xml:space="preserve">En el año 2013 Dejusticia presentó un estudio titulado </w:t>
      </w:r>
      <w:r>
        <w:rPr>
          <w:rFonts w:ascii="Bookman Old Style" w:eastAsia="Bookman Old Style" w:hAnsi="Bookman Old Style" w:cs="Bookman Old Style"/>
          <w:i/>
          <w:sz w:val="22"/>
          <w:szCs w:val="22"/>
        </w:rPr>
        <w:t>“Instituciones y Narcotráfico”</w:t>
      </w:r>
      <w:r>
        <w:rPr>
          <w:rFonts w:ascii="Bookman Old Style" w:eastAsia="Bookman Old Style" w:hAnsi="Bookman Old Style" w:cs="Bookman Old Style"/>
          <w:sz w:val="22"/>
          <w:szCs w:val="22"/>
        </w:rPr>
        <w:t xml:space="preserve"> en el que enseñó una evaluación geográfica de la relación entre la persecución del narcotráfico y el desempeño de</w:t>
      </w:r>
      <w:r>
        <w:rPr>
          <w:rFonts w:ascii="Bookman Old Style" w:eastAsia="Bookman Old Style" w:hAnsi="Bookman Old Style" w:cs="Bookman Old Style"/>
          <w:sz w:val="22"/>
          <w:szCs w:val="22"/>
        </w:rPr>
        <w:t xml:space="preserve"> las instituciones de justicia en Colombia. Mediante los análisis y gráficos allí plasmados se puede desarrollar gran parte de la argumentación que aquí se presenta, en los términos de que las regiones más afectadas por el narcotráfico, abarcando toda su c</w:t>
      </w:r>
      <w:r>
        <w:rPr>
          <w:rFonts w:ascii="Bookman Old Style" w:eastAsia="Bookman Old Style" w:hAnsi="Bookman Old Style" w:cs="Bookman Old Style"/>
          <w:sz w:val="22"/>
          <w:szCs w:val="22"/>
        </w:rPr>
        <w:t xml:space="preserve">adena de producción y posteriormente sus estrategias de lavado de activos, deben ser resarcidas por el daño en su tejido social. </w:t>
      </w:r>
    </w:p>
    <w:p w:rsidR="00506B2D" w:rsidRDefault="008C5B26">
      <w:pPr>
        <w:spacing w:after="240" w:line="360" w:lineRule="auto"/>
        <w:ind w:left="-142"/>
        <w:jc w:val="both"/>
        <w:rPr>
          <w:rFonts w:ascii="Bookman Old Style" w:eastAsia="Bookman Old Style" w:hAnsi="Bookman Old Style" w:cs="Bookman Old Style"/>
          <w:b/>
          <w:color w:val="0D0D0D"/>
          <w:sz w:val="22"/>
          <w:szCs w:val="22"/>
        </w:rPr>
      </w:pPr>
      <w:r>
        <w:rPr>
          <w:rFonts w:ascii="Bookman Old Style" w:eastAsia="Bookman Old Style" w:hAnsi="Bookman Old Style" w:cs="Bookman Old Style"/>
          <w:sz w:val="22"/>
          <w:szCs w:val="22"/>
        </w:rPr>
        <w:t>Las diferentes etapas o eslabones de la cadena del narcotráfico que presentan los investigadores de Dejusticia son: i. Conserv</w:t>
      </w:r>
      <w:r>
        <w:rPr>
          <w:rFonts w:ascii="Bookman Old Style" w:eastAsia="Bookman Old Style" w:hAnsi="Bookman Old Style" w:cs="Bookman Old Style"/>
          <w:sz w:val="22"/>
          <w:szCs w:val="22"/>
        </w:rPr>
        <w:t>ación o financiación de la cadena, ii. Tráfico de sustancias para procesamiento de narcotráfico, iii. Tráfico, fabricación o porte de estupefacientes, y, iv. Lavado de activos., y nos ofrecen una nueva visión del mapa del narcotráfico en Colombia, pues con</w:t>
      </w:r>
      <w:r>
        <w:rPr>
          <w:rFonts w:ascii="Bookman Old Style" w:eastAsia="Bookman Old Style" w:hAnsi="Bookman Old Style" w:cs="Bookman Old Style"/>
          <w:sz w:val="22"/>
          <w:szCs w:val="22"/>
        </w:rPr>
        <w:t xml:space="preserve"> ellas se identifican nuevos elementos que amplían el impacto geográfico del narcotráfico y reafirman la continuidad de los cuatro eslabones en las regiones más vulnerables. (García Villegas, 2013)</w:t>
      </w:r>
    </w:p>
    <w:p w:rsidR="00506B2D" w:rsidRDefault="008C5B26">
      <w:pPr>
        <w:spacing w:after="240" w:line="360" w:lineRule="auto"/>
        <w:ind w:left="-142"/>
        <w:jc w:val="both"/>
        <w:rPr>
          <w:rFonts w:ascii="Bookman Old Style" w:eastAsia="Bookman Old Style" w:hAnsi="Bookman Old Style" w:cs="Bookman Old Style"/>
          <w:b/>
          <w:color w:val="0D0D0D"/>
          <w:sz w:val="22"/>
          <w:szCs w:val="22"/>
        </w:rPr>
      </w:pPr>
      <w:r>
        <w:rPr>
          <w:rFonts w:ascii="Bookman Old Style" w:eastAsia="Bookman Old Style" w:hAnsi="Bookman Old Style" w:cs="Bookman Old Style"/>
          <w:sz w:val="22"/>
          <w:szCs w:val="22"/>
        </w:rPr>
        <w:t>En lo que corresponde a la presente ponencia se desarrolla</w:t>
      </w:r>
      <w:r>
        <w:rPr>
          <w:rFonts w:ascii="Bookman Old Style" w:eastAsia="Bookman Old Style" w:hAnsi="Bookman Old Style" w:cs="Bookman Old Style"/>
          <w:sz w:val="22"/>
          <w:szCs w:val="22"/>
        </w:rPr>
        <w:t xml:space="preserve"> la explicación del último eslabón iv. Lavado de activos, para demostrar que específicamente los municipios y distritos con bienes de origen ilícito ubicados dentro de su territorialidad, son quienes han tenido que lidiar en mayor porcentaje con las consec</w:t>
      </w:r>
      <w:r>
        <w:rPr>
          <w:rFonts w:ascii="Bookman Old Style" w:eastAsia="Bookman Old Style" w:hAnsi="Bookman Old Style" w:cs="Bookman Old Style"/>
          <w:sz w:val="22"/>
          <w:szCs w:val="22"/>
        </w:rPr>
        <w:t>uencias del testaferrato y los lavados de activos y que a pesar de que los bienes se encuentren ubicados en su territorio, no se realiza una inversión directa en los mismos que garantice reparación y facilite las condiciones para que no se propaguen las ba</w:t>
      </w:r>
      <w:r>
        <w:rPr>
          <w:rFonts w:ascii="Bookman Old Style" w:eastAsia="Bookman Old Style" w:hAnsi="Bookman Old Style" w:cs="Bookman Old Style"/>
          <w:sz w:val="22"/>
          <w:szCs w:val="22"/>
        </w:rPr>
        <w:t xml:space="preserve">ndas criminales. </w:t>
      </w:r>
    </w:p>
    <w:p w:rsidR="00506B2D" w:rsidRDefault="008C5B26">
      <w:pPr>
        <w:spacing w:after="240" w:line="360" w:lineRule="auto"/>
        <w:ind w:left="-142"/>
        <w:jc w:val="both"/>
        <w:rPr>
          <w:rFonts w:ascii="Bookman Old Style" w:eastAsia="Bookman Old Style" w:hAnsi="Bookman Old Style" w:cs="Bookman Old Style"/>
          <w:b/>
          <w:color w:val="0D0D0D"/>
          <w:sz w:val="22"/>
          <w:szCs w:val="22"/>
        </w:rPr>
      </w:pPr>
      <w:r>
        <w:rPr>
          <w:rFonts w:ascii="Bookman Old Style" w:eastAsia="Bookman Old Style" w:hAnsi="Bookman Old Style" w:cs="Bookman Old Style"/>
          <w:sz w:val="22"/>
          <w:szCs w:val="22"/>
        </w:rPr>
        <w:t>De acuerdo con el gráfico 1, la eficacia judicial en la persecución de delitos relacionados con el lavado de activos es muy baja si la enfrentamos con el número de municipios (quinientos noventa y tres (593)) que tienen un bien inmueble e</w:t>
      </w:r>
      <w:r>
        <w:rPr>
          <w:rFonts w:ascii="Bookman Old Style" w:eastAsia="Bookman Old Style" w:hAnsi="Bookman Old Style" w:cs="Bookman Old Style"/>
          <w:sz w:val="22"/>
          <w:szCs w:val="22"/>
        </w:rPr>
        <w:t xml:space="preserve">n proceso de extinción de dominio. En términos de los investigadores:  </w:t>
      </w:r>
    </w:p>
    <w:p w:rsidR="00506B2D" w:rsidRDefault="008C5B26">
      <w:pPr>
        <w:spacing w:line="360" w:lineRule="auto"/>
        <w:ind w:left="708"/>
        <w:jc w:val="both"/>
        <w:rPr>
          <w:rFonts w:ascii="Bookman Old Style" w:eastAsia="Bookman Old Style" w:hAnsi="Bookman Old Style" w:cs="Bookman Old Style"/>
          <w:i/>
          <w:sz w:val="22"/>
          <w:szCs w:val="22"/>
        </w:rPr>
      </w:pPr>
      <w:r>
        <w:rPr>
          <w:rFonts w:ascii="Bookman Old Style" w:eastAsia="Bookman Old Style" w:hAnsi="Bookman Old Style" w:cs="Bookman Old Style"/>
          <w:i/>
          <w:sz w:val="22"/>
          <w:szCs w:val="22"/>
        </w:rPr>
        <w:t xml:space="preserve">“si se tiene en cuenta que los delitos son representativos de los diferentes eslabones y actores de la cadena, el resultado es llamativo: la eficacia del Estado para perseguir delitos </w:t>
      </w:r>
      <w:r>
        <w:rPr>
          <w:rFonts w:ascii="Bookman Old Style" w:eastAsia="Bookman Old Style" w:hAnsi="Bookman Old Style" w:cs="Bookman Old Style"/>
          <w:i/>
          <w:sz w:val="22"/>
          <w:szCs w:val="22"/>
        </w:rPr>
        <w:t>de drogas se concentra en algunos actores de la cadena y no a otros. Pero, además, el resultado es algo injusto e incluso discriminatorio y ello debido a que el Estado persigue menos, justamente, la etapa en la que los actores que más ganancias obtienen lo</w:t>
      </w:r>
      <w:r>
        <w:rPr>
          <w:rFonts w:ascii="Bookman Old Style" w:eastAsia="Bookman Old Style" w:hAnsi="Bookman Old Style" w:cs="Bookman Old Style"/>
          <w:i/>
          <w:sz w:val="22"/>
          <w:szCs w:val="22"/>
        </w:rPr>
        <w:t xml:space="preserve">gran legalizar y gozar de esas ganancias.” </w:t>
      </w:r>
      <w:r>
        <w:rPr>
          <w:rFonts w:ascii="Bookman Old Style" w:eastAsia="Bookman Old Style" w:hAnsi="Bookman Old Style" w:cs="Bookman Old Style"/>
          <w:sz w:val="22"/>
          <w:szCs w:val="22"/>
        </w:rPr>
        <w:t>(García Villegas, 2013)</w:t>
      </w:r>
    </w:p>
    <w:p w:rsidR="00506B2D" w:rsidRDefault="00506B2D">
      <w:pPr>
        <w:spacing w:line="360" w:lineRule="auto"/>
        <w:jc w:val="both"/>
        <w:rPr>
          <w:rFonts w:ascii="Bookman Old Style" w:eastAsia="Bookman Old Style" w:hAnsi="Bookman Old Style" w:cs="Bookman Old Style"/>
          <w:sz w:val="22"/>
          <w:szCs w:val="22"/>
        </w:rPr>
      </w:pPr>
    </w:p>
    <w:p w:rsidR="00506B2D" w:rsidRDefault="00506B2D">
      <w:pPr>
        <w:spacing w:line="360" w:lineRule="auto"/>
        <w:jc w:val="both"/>
        <w:rPr>
          <w:rFonts w:ascii="Bookman Old Style" w:eastAsia="Bookman Old Style" w:hAnsi="Bookman Old Style" w:cs="Bookman Old Style"/>
          <w:sz w:val="22"/>
          <w:szCs w:val="22"/>
        </w:rPr>
      </w:pPr>
    </w:p>
    <w:p w:rsidR="00506B2D" w:rsidRDefault="008C5B26">
      <w:pPr>
        <w:spacing w:line="360" w:lineRule="auto"/>
        <w:jc w:val="center"/>
        <w:rPr>
          <w:rFonts w:ascii="Bookman Old Style" w:eastAsia="Bookman Old Style" w:hAnsi="Bookman Old Style" w:cs="Bookman Old Style"/>
          <w:sz w:val="22"/>
          <w:szCs w:val="22"/>
        </w:rPr>
      </w:pPr>
      <w:r>
        <w:rPr>
          <w:rFonts w:ascii="Bookman Old Style" w:eastAsia="Bookman Old Style" w:hAnsi="Bookman Old Style" w:cs="Bookman Old Style"/>
          <w:noProof/>
          <w:sz w:val="22"/>
          <w:szCs w:val="22"/>
          <w:lang w:eastAsia="es-CO"/>
        </w:rPr>
        <w:drawing>
          <wp:inline distT="0" distB="0" distL="0" distR="0">
            <wp:extent cx="3437756" cy="2603860"/>
            <wp:effectExtent l="0" t="0" r="0" b="0"/>
            <wp:docPr id="1113" name="image2.png" descr="Imagen que contiene map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png" descr="Imagen que contiene mapa&#10;&#10;Descripción generada automáticamente"/>
                    <pic:cNvPicPr preferRelativeResize="0"/>
                  </pic:nvPicPr>
                  <pic:blipFill>
                    <a:blip r:embed="rId8"/>
                    <a:srcRect l="7739" t="18105" r="56416" b="1990"/>
                    <a:stretch>
                      <a:fillRect/>
                    </a:stretch>
                  </pic:blipFill>
                  <pic:spPr>
                    <a:xfrm>
                      <a:off x="0" y="0"/>
                      <a:ext cx="3437756" cy="2603860"/>
                    </a:xfrm>
                    <a:prstGeom prst="rect">
                      <a:avLst/>
                    </a:prstGeom>
                    <a:ln/>
                  </pic:spPr>
                </pic:pic>
              </a:graphicData>
            </a:graphic>
          </wp:inline>
        </w:drawing>
      </w:r>
    </w:p>
    <w:p w:rsidR="00506B2D" w:rsidRDefault="008C5B26">
      <w:pPr>
        <w:jc w:val="center"/>
        <w:rPr>
          <w:rFonts w:ascii="Bookman Old Style" w:eastAsia="Bookman Old Style" w:hAnsi="Bookman Old Style" w:cs="Bookman Old Style"/>
          <w:b/>
          <w:sz w:val="22"/>
          <w:szCs w:val="22"/>
          <w:vertAlign w:val="subscript"/>
        </w:rPr>
      </w:pPr>
      <w:r>
        <w:rPr>
          <w:rFonts w:ascii="Bookman Old Style" w:eastAsia="Bookman Old Style" w:hAnsi="Bookman Old Style" w:cs="Bookman Old Style"/>
          <w:b/>
          <w:sz w:val="22"/>
          <w:szCs w:val="22"/>
          <w:vertAlign w:val="subscript"/>
        </w:rPr>
        <w:t>Gráfico 1. Municipios con ingresos por lavado de activos</w:t>
      </w:r>
    </w:p>
    <w:p w:rsidR="00506B2D" w:rsidRDefault="008C5B26">
      <w:pPr>
        <w:jc w:val="center"/>
        <w:rPr>
          <w:rFonts w:ascii="Bookman Old Style" w:eastAsia="Bookman Old Style" w:hAnsi="Bookman Old Style" w:cs="Bookman Old Style"/>
          <w:b/>
          <w:sz w:val="22"/>
          <w:szCs w:val="22"/>
          <w:vertAlign w:val="subscript"/>
        </w:rPr>
      </w:pPr>
      <w:r>
        <w:rPr>
          <w:rFonts w:ascii="Bookman Old Style" w:eastAsia="Bookman Old Style" w:hAnsi="Bookman Old Style" w:cs="Bookman Old Style"/>
          <w:b/>
          <w:sz w:val="22"/>
          <w:szCs w:val="22"/>
          <w:vertAlign w:val="subscript"/>
        </w:rPr>
        <w:t>Fuente: Instituciones y Narcotráfico: la geografía judicial de los delitos de drogas en Colombia</w:t>
      </w:r>
    </w:p>
    <w:p w:rsidR="00506B2D" w:rsidRDefault="00506B2D">
      <w:pPr>
        <w:spacing w:line="360" w:lineRule="auto"/>
        <w:jc w:val="both"/>
        <w:rPr>
          <w:rFonts w:ascii="Bookman Old Style" w:eastAsia="Bookman Old Style" w:hAnsi="Bookman Old Style" w:cs="Bookman Old Style"/>
          <w:sz w:val="22"/>
          <w:szCs w:val="22"/>
        </w:rPr>
      </w:pPr>
    </w:p>
    <w:p w:rsidR="00506B2D" w:rsidRDefault="008C5B26">
      <w:pPr>
        <w:spacing w:line="360" w:lineRule="auto"/>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 xml:space="preserve">6.2 Ubicación de los bienes inmuebles extintos y en proceso de extinción de dominio. </w:t>
      </w:r>
    </w:p>
    <w:p w:rsidR="00506B2D" w:rsidRDefault="008C5B26">
      <w:pPr>
        <w:spacing w:line="360" w:lineRule="auto"/>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La Sociedad de Activos Especiales remitió información correspondiente a los bienes extintos a nivel nacional, detallando la ubicación y el tipo de bien (Sociedad de Activ</w:t>
      </w:r>
      <w:r>
        <w:rPr>
          <w:rFonts w:ascii="Bookman Old Style" w:eastAsia="Bookman Old Style" w:hAnsi="Bookman Old Style" w:cs="Bookman Old Style"/>
          <w:sz w:val="22"/>
          <w:szCs w:val="22"/>
        </w:rPr>
        <w:t>os Especiales, 2020). A continuación, se exponen unas conclusiones sobre los bienes inmuebles.</w:t>
      </w:r>
    </w:p>
    <w:p w:rsidR="00506B2D" w:rsidRDefault="008C5B26">
      <w:pPr>
        <w:spacing w:line="360" w:lineRule="auto"/>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Por departamentos el Valle del Cauca tiene el 31,34% de los bienes inmuebles, Cundinamarca el 23% (Bogotá tiene el 10%), Antioquia tiene el 10%, Boyacá, Atlántic</w:t>
      </w:r>
      <w:r>
        <w:rPr>
          <w:rFonts w:ascii="Bookman Old Style" w:eastAsia="Bookman Old Style" w:hAnsi="Bookman Old Style" w:cs="Bookman Old Style"/>
          <w:sz w:val="22"/>
          <w:szCs w:val="22"/>
        </w:rPr>
        <w:t xml:space="preserve">o y Magdalena tienen cerca del 3%. Córdoba (61), Tolima (62), Meta (67), Risaralda (68), Quindío (68), Caldas (74) y Caquetá (75) tienen alrededor del 2 % cada uno de los bienes inmuebles extintos en el país. </w:t>
      </w:r>
    </w:p>
    <w:p w:rsidR="00506B2D" w:rsidRDefault="008C5B26">
      <w:pPr>
        <w:spacing w:line="360" w:lineRule="auto"/>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 </w:t>
      </w:r>
      <w:r>
        <w:rPr>
          <w:rFonts w:ascii="Bookman Old Style" w:eastAsia="Bookman Old Style" w:hAnsi="Bookman Old Style" w:cs="Bookman Old Style"/>
          <w:noProof/>
          <w:sz w:val="22"/>
          <w:szCs w:val="22"/>
          <w:lang w:eastAsia="es-CO"/>
        </w:rPr>
        <w:drawing>
          <wp:inline distT="0" distB="0" distL="0" distR="0">
            <wp:extent cx="5612130" cy="2939415"/>
            <wp:effectExtent l="0" t="0" r="0" b="0"/>
            <wp:docPr id="11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5612130" cy="2939415"/>
                    </a:xfrm>
                    <a:prstGeom prst="rect">
                      <a:avLst/>
                    </a:prstGeom>
                    <a:ln/>
                  </pic:spPr>
                </pic:pic>
              </a:graphicData>
            </a:graphic>
          </wp:inline>
        </w:drawing>
      </w:r>
    </w:p>
    <w:p w:rsidR="00506B2D" w:rsidRDefault="008C5B26">
      <w:pPr>
        <w:spacing w:line="360" w:lineRule="auto"/>
        <w:jc w:val="center"/>
        <w:rPr>
          <w:rFonts w:ascii="Bookman Old Style" w:eastAsia="Bookman Old Style" w:hAnsi="Bookman Old Style" w:cs="Bookman Old Style"/>
          <w:b/>
          <w:sz w:val="22"/>
          <w:szCs w:val="22"/>
          <w:vertAlign w:val="subscript"/>
        </w:rPr>
      </w:pPr>
      <w:r>
        <w:rPr>
          <w:rFonts w:ascii="Bookman Old Style" w:eastAsia="Bookman Old Style" w:hAnsi="Bookman Old Style" w:cs="Bookman Old Style"/>
          <w:b/>
          <w:sz w:val="22"/>
          <w:szCs w:val="22"/>
          <w:vertAlign w:val="subscript"/>
        </w:rPr>
        <w:t>Gráfico 2 Bienes extintos por departamento</w:t>
      </w:r>
    </w:p>
    <w:p w:rsidR="00506B2D" w:rsidRDefault="008C5B26">
      <w:pPr>
        <w:spacing w:line="360" w:lineRule="auto"/>
        <w:jc w:val="center"/>
        <w:rPr>
          <w:rFonts w:ascii="Bookman Old Style" w:eastAsia="Bookman Old Style" w:hAnsi="Bookman Old Style" w:cs="Bookman Old Style"/>
          <w:b/>
          <w:sz w:val="22"/>
          <w:szCs w:val="22"/>
          <w:vertAlign w:val="subscript"/>
        </w:rPr>
      </w:pPr>
      <w:r>
        <w:rPr>
          <w:rFonts w:ascii="Bookman Old Style" w:eastAsia="Bookman Old Style" w:hAnsi="Bookman Old Style" w:cs="Bookman Old Style"/>
          <w:b/>
          <w:sz w:val="22"/>
          <w:szCs w:val="22"/>
          <w:vertAlign w:val="subscript"/>
        </w:rPr>
        <w:t>Fuente: elaboración UTL Juan Fernando Reyes Kuri con base en la información de SAE (2020)</w:t>
      </w:r>
    </w:p>
    <w:p w:rsidR="00506B2D" w:rsidRDefault="00506B2D">
      <w:pPr>
        <w:spacing w:line="360" w:lineRule="auto"/>
        <w:jc w:val="both"/>
        <w:rPr>
          <w:rFonts w:ascii="Bookman Old Style" w:eastAsia="Bookman Old Style" w:hAnsi="Bookman Old Style" w:cs="Bookman Old Style"/>
          <w:sz w:val="22"/>
          <w:szCs w:val="22"/>
        </w:rPr>
      </w:pPr>
    </w:p>
    <w:p w:rsidR="00506B2D" w:rsidRDefault="008C5B26">
      <w:pPr>
        <w:spacing w:line="360" w:lineRule="auto"/>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De acuerdo con información suministrada por la Sociedad de Activos Especiales (2019), el año pasado se extinguió el dominio de dos mil ochocientos sesenta y seis (28</w:t>
      </w:r>
      <w:r>
        <w:rPr>
          <w:rFonts w:ascii="Bookman Old Style" w:eastAsia="Bookman Old Style" w:hAnsi="Bookman Old Style" w:cs="Bookman Old Style"/>
          <w:sz w:val="22"/>
          <w:szCs w:val="22"/>
        </w:rPr>
        <w:t xml:space="preserve">66) bienes inmuebles, teniendo como principales ciudades a Cali (17.41%), Bogotá (10.75%), Medellín (5.34%), Barranquilla (3.11%) y Pereira (2.76%). </w:t>
      </w:r>
    </w:p>
    <w:p w:rsidR="00506B2D" w:rsidRDefault="008C5B26">
      <w:pPr>
        <w:spacing w:line="360" w:lineRule="auto"/>
        <w:jc w:val="center"/>
        <w:rPr>
          <w:rFonts w:ascii="Bookman Old Style" w:eastAsia="Bookman Old Style" w:hAnsi="Bookman Old Style" w:cs="Bookman Old Style"/>
          <w:sz w:val="22"/>
          <w:szCs w:val="22"/>
        </w:rPr>
      </w:pPr>
      <w:r>
        <w:rPr>
          <w:rFonts w:ascii="Bookman Old Style" w:eastAsia="Bookman Old Style" w:hAnsi="Bookman Old Style" w:cs="Bookman Old Style"/>
          <w:noProof/>
          <w:sz w:val="22"/>
          <w:szCs w:val="22"/>
          <w:lang w:eastAsia="es-CO"/>
        </w:rPr>
        <w:drawing>
          <wp:inline distT="0" distB="0" distL="0" distR="0">
            <wp:extent cx="5028807" cy="2606443"/>
            <wp:effectExtent l="0" t="0" r="0" b="0"/>
            <wp:docPr id="111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b="7851"/>
                    <a:stretch>
                      <a:fillRect/>
                    </a:stretch>
                  </pic:blipFill>
                  <pic:spPr>
                    <a:xfrm>
                      <a:off x="0" y="0"/>
                      <a:ext cx="5028807" cy="2606443"/>
                    </a:xfrm>
                    <a:prstGeom prst="rect">
                      <a:avLst/>
                    </a:prstGeom>
                    <a:ln/>
                  </pic:spPr>
                </pic:pic>
              </a:graphicData>
            </a:graphic>
          </wp:inline>
        </w:drawing>
      </w:r>
    </w:p>
    <w:p w:rsidR="00506B2D" w:rsidRDefault="008C5B26">
      <w:pPr>
        <w:spacing w:line="360" w:lineRule="auto"/>
        <w:jc w:val="center"/>
        <w:rPr>
          <w:rFonts w:ascii="Bookman Old Style" w:eastAsia="Bookman Old Style" w:hAnsi="Bookman Old Style" w:cs="Bookman Old Style"/>
          <w:b/>
          <w:sz w:val="22"/>
          <w:szCs w:val="22"/>
          <w:vertAlign w:val="subscript"/>
        </w:rPr>
      </w:pPr>
      <w:r>
        <w:rPr>
          <w:rFonts w:ascii="Bookman Old Style" w:eastAsia="Bookman Old Style" w:hAnsi="Bookman Old Style" w:cs="Bookman Old Style"/>
          <w:b/>
          <w:sz w:val="22"/>
          <w:szCs w:val="22"/>
          <w:vertAlign w:val="subscript"/>
        </w:rPr>
        <w:t>Gráfico3. Bienes extintos.</w:t>
      </w:r>
    </w:p>
    <w:p w:rsidR="00506B2D" w:rsidRDefault="008C5B26">
      <w:pPr>
        <w:spacing w:line="360" w:lineRule="auto"/>
        <w:jc w:val="center"/>
        <w:rPr>
          <w:rFonts w:ascii="Bookman Old Style" w:eastAsia="Bookman Old Style" w:hAnsi="Bookman Old Style" w:cs="Bookman Old Style"/>
          <w:sz w:val="22"/>
          <w:szCs w:val="22"/>
          <w:vertAlign w:val="subscript"/>
        </w:rPr>
      </w:pPr>
      <w:r>
        <w:rPr>
          <w:rFonts w:ascii="Bookman Old Style" w:eastAsia="Bookman Old Style" w:hAnsi="Bookman Old Style" w:cs="Bookman Old Style"/>
          <w:b/>
          <w:sz w:val="22"/>
          <w:szCs w:val="22"/>
          <w:vertAlign w:val="subscript"/>
        </w:rPr>
        <w:t>Fuente: elaboración UTL Juan Fernando Reyes Kuri con base en la información d</w:t>
      </w:r>
      <w:r>
        <w:rPr>
          <w:rFonts w:ascii="Bookman Old Style" w:eastAsia="Bookman Old Style" w:hAnsi="Bookman Old Style" w:cs="Bookman Old Style"/>
          <w:b/>
          <w:sz w:val="22"/>
          <w:szCs w:val="22"/>
          <w:vertAlign w:val="subscript"/>
        </w:rPr>
        <w:t>e SAE (2019)</w:t>
      </w:r>
    </w:p>
    <w:p w:rsidR="00506B2D" w:rsidRDefault="00506B2D">
      <w:pPr>
        <w:spacing w:line="360" w:lineRule="auto"/>
        <w:jc w:val="both"/>
        <w:rPr>
          <w:rFonts w:ascii="Bookman Old Style" w:eastAsia="Bookman Old Style" w:hAnsi="Bookman Old Style" w:cs="Bookman Old Style"/>
          <w:sz w:val="22"/>
          <w:szCs w:val="22"/>
        </w:rPr>
      </w:pPr>
    </w:p>
    <w:p w:rsidR="00506B2D" w:rsidRDefault="008C5B26">
      <w:pPr>
        <w:spacing w:line="360" w:lineRule="auto"/>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6.3 Listado de municipios y distritos potencialmente beneficiarios del proyecto</w:t>
      </w:r>
    </w:p>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De acuerdo con la información suministrada por la SAE (2020), estos son los municipios con bienes inmuebles extintos que potencialmente podrían ser beneficiados p</w:t>
      </w:r>
      <w:r>
        <w:rPr>
          <w:rFonts w:ascii="Bookman Old Style" w:eastAsia="Bookman Old Style" w:hAnsi="Bookman Old Style" w:cs="Bookman Old Style"/>
          <w:sz w:val="22"/>
          <w:szCs w:val="22"/>
        </w:rPr>
        <w:t>or este proyecto:</w:t>
      </w:r>
    </w:p>
    <w:tbl>
      <w:tblPr>
        <w:tblStyle w:val="a1"/>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59"/>
        <w:gridCol w:w="1379"/>
        <w:gridCol w:w="1379"/>
        <w:gridCol w:w="1711"/>
      </w:tblGrid>
      <w:tr w:rsidR="00506B2D">
        <w:trPr>
          <w:trHeight w:val="300"/>
        </w:trPr>
        <w:tc>
          <w:tcPr>
            <w:tcW w:w="0" w:type="auto"/>
            <w:gridSpan w:val="4"/>
          </w:tcPr>
          <w:p w:rsidR="00506B2D" w:rsidRDefault="008C5B26">
            <w:pPr>
              <w:spacing w:line="360" w:lineRule="auto"/>
              <w:ind w:left="-142"/>
              <w:jc w:val="center"/>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BIENES INMUEBLES EXTINTOS DETALLADO POR MUNICIPIO</w:t>
            </w:r>
          </w:p>
        </w:tc>
      </w:tr>
      <w:tr w:rsidR="00506B2D">
        <w:trPr>
          <w:trHeight w:val="300"/>
        </w:trPr>
        <w:tc>
          <w:tcPr>
            <w:tcW w:w="0" w:type="auto"/>
          </w:tcPr>
          <w:p w:rsidR="00506B2D" w:rsidRDefault="008C5B26">
            <w:pPr>
              <w:spacing w:line="360" w:lineRule="auto"/>
              <w:ind w:left="22"/>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Departamento/Municipio</w:t>
            </w:r>
          </w:p>
        </w:tc>
        <w:tc>
          <w:tcPr>
            <w:tcW w:w="0" w:type="auto"/>
          </w:tcPr>
          <w:p w:rsidR="00506B2D" w:rsidRDefault="008C5B26">
            <w:pPr>
              <w:spacing w:line="360" w:lineRule="auto"/>
              <w:ind w:left="-142"/>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RURAL</w:t>
            </w:r>
          </w:p>
        </w:tc>
        <w:tc>
          <w:tcPr>
            <w:tcW w:w="0" w:type="auto"/>
          </w:tcPr>
          <w:p w:rsidR="00506B2D" w:rsidRDefault="008C5B26">
            <w:pPr>
              <w:spacing w:line="360" w:lineRule="auto"/>
              <w:ind w:left="-142"/>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URBANO</w:t>
            </w:r>
          </w:p>
        </w:tc>
        <w:tc>
          <w:tcPr>
            <w:tcW w:w="0" w:type="auto"/>
          </w:tcPr>
          <w:p w:rsidR="00506B2D" w:rsidRDefault="008C5B26">
            <w:pPr>
              <w:spacing w:line="360" w:lineRule="auto"/>
              <w:ind w:left="-142"/>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Total general</w:t>
            </w:r>
          </w:p>
        </w:tc>
      </w:tr>
      <w:tr w:rsidR="00506B2D">
        <w:trPr>
          <w:trHeight w:val="300"/>
        </w:trPr>
        <w:tc>
          <w:tcPr>
            <w:tcW w:w="0" w:type="auto"/>
          </w:tcPr>
          <w:p w:rsidR="00506B2D" w:rsidRDefault="008C5B26">
            <w:pPr>
              <w:spacing w:line="360" w:lineRule="auto"/>
              <w:ind w:left="-120"/>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AMAZONAS</w:t>
            </w:r>
          </w:p>
        </w:tc>
        <w:tc>
          <w:tcPr>
            <w:tcW w:w="0" w:type="auto"/>
          </w:tcPr>
          <w:p w:rsidR="00506B2D" w:rsidRDefault="008C5B26">
            <w:pPr>
              <w:spacing w:line="360" w:lineRule="auto"/>
              <w:ind w:left="-142"/>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3</w:t>
            </w:r>
          </w:p>
        </w:tc>
        <w:tc>
          <w:tcPr>
            <w:tcW w:w="0" w:type="auto"/>
          </w:tcPr>
          <w:p w:rsidR="00506B2D" w:rsidRDefault="008C5B26">
            <w:pPr>
              <w:spacing w:line="360" w:lineRule="auto"/>
              <w:ind w:left="-142"/>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36</w:t>
            </w:r>
          </w:p>
        </w:tc>
        <w:tc>
          <w:tcPr>
            <w:tcW w:w="0" w:type="auto"/>
          </w:tcPr>
          <w:p w:rsidR="00506B2D" w:rsidRDefault="008C5B26">
            <w:pPr>
              <w:spacing w:line="360" w:lineRule="auto"/>
              <w:ind w:left="-142"/>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39</w:t>
            </w:r>
          </w:p>
        </w:tc>
      </w:tr>
      <w:tr w:rsidR="00506B2D">
        <w:trPr>
          <w:trHeight w:val="300"/>
        </w:trPr>
        <w:tc>
          <w:tcPr>
            <w:tcW w:w="0" w:type="auto"/>
          </w:tcPr>
          <w:p w:rsidR="00506B2D" w:rsidRDefault="008C5B26">
            <w:pPr>
              <w:spacing w:line="360" w:lineRule="auto"/>
              <w:ind w:left="-120"/>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LETICIA</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3</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35</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38</w:t>
            </w:r>
          </w:p>
        </w:tc>
      </w:tr>
      <w:tr w:rsidR="00506B2D">
        <w:trPr>
          <w:trHeight w:val="300"/>
        </w:trPr>
        <w:tc>
          <w:tcPr>
            <w:tcW w:w="0" w:type="auto"/>
          </w:tcPr>
          <w:p w:rsidR="00506B2D" w:rsidRDefault="008C5B26">
            <w:pPr>
              <w:spacing w:line="360" w:lineRule="auto"/>
              <w:ind w:left="-120"/>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PUERTO NARIÑO</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w:t>
            </w:r>
          </w:p>
        </w:tc>
      </w:tr>
      <w:tr w:rsidR="00506B2D">
        <w:trPr>
          <w:trHeight w:val="300"/>
        </w:trPr>
        <w:tc>
          <w:tcPr>
            <w:tcW w:w="0" w:type="auto"/>
          </w:tcPr>
          <w:p w:rsidR="00506B2D" w:rsidRDefault="008C5B26">
            <w:pPr>
              <w:spacing w:line="360" w:lineRule="auto"/>
              <w:ind w:left="-120"/>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ANTIOQUIA</w:t>
            </w:r>
          </w:p>
        </w:tc>
        <w:tc>
          <w:tcPr>
            <w:tcW w:w="0" w:type="auto"/>
          </w:tcPr>
          <w:p w:rsidR="00506B2D" w:rsidRDefault="008C5B26">
            <w:pPr>
              <w:spacing w:line="360" w:lineRule="auto"/>
              <w:ind w:left="-142"/>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94</w:t>
            </w:r>
          </w:p>
        </w:tc>
        <w:tc>
          <w:tcPr>
            <w:tcW w:w="0" w:type="auto"/>
          </w:tcPr>
          <w:p w:rsidR="00506B2D" w:rsidRDefault="008C5B26">
            <w:pPr>
              <w:spacing w:line="360" w:lineRule="auto"/>
              <w:ind w:left="-142"/>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220</w:t>
            </w:r>
          </w:p>
        </w:tc>
        <w:tc>
          <w:tcPr>
            <w:tcW w:w="0" w:type="auto"/>
          </w:tcPr>
          <w:p w:rsidR="00506B2D" w:rsidRDefault="008C5B26">
            <w:pPr>
              <w:spacing w:line="360" w:lineRule="auto"/>
              <w:ind w:left="-142"/>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314</w:t>
            </w:r>
          </w:p>
        </w:tc>
      </w:tr>
      <w:tr w:rsidR="00506B2D">
        <w:trPr>
          <w:trHeight w:val="300"/>
        </w:trPr>
        <w:tc>
          <w:tcPr>
            <w:tcW w:w="0" w:type="auto"/>
          </w:tcPr>
          <w:p w:rsidR="00506B2D" w:rsidRDefault="008C5B26">
            <w:pPr>
              <w:spacing w:line="360" w:lineRule="auto"/>
              <w:ind w:left="-120"/>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AMAGÁ</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w:t>
            </w:r>
          </w:p>
        </w:tc>
      </w:tr>
      <w:tr w:rsidR="00506B2D">
        <w:trPr>
          <w:trHeight w:val="300"/>
        </w:trPr>
        <w:tc>
          <w:tcPr>
            <w:tcW w:w="0" w:type="auto"/>
          </w:tcPr>
          <w:p w:rsidR="00506B2D" w:rsidRDefault="008C5B26">
            <w:pPr>
              <w:spacing w:line="360" w:lineRule="auto"/>
              <w:ind w:left="-120"/>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AMALFI</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w:t>
            </w:r>
          </w:p>
        </w:tc>
      </w:tr>
      <w:tr w:rsidR="00506B2D">
        <w:trPr>
          <w:trHeight w:val="300"/>
        </w:trPr>
        <w:tc>
          <w:tcPr>
            <w:tcW w:w="0" w:type="auto"/>
          </w:tcPr>
          <w:p w:rsidR="00506B2D" w:rsidRDefault="008C5B26">
            <w:pPr>
              <w:spacing w:line="360" w:lineRule="auto"/>
              <w:ind w:left="-120"/>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ANDES</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3</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3</w:t>
            </w:r>
          </w:p>
        </w:tc>
      </w:tr>
      <w:tr w:rsidR="00506B2D">
        <w:trPr>
          <w:trHeight w:val="300"/>
        </w:trPr>
        <w:tc>
          <w:tcPr>
            <w:tcW w:w="0" w:type="auto"/>
          </w:tcPr>
          <w:p w:rsidR="00506B2D" w:rsidRDefault="008C5B26">
            <w:pPr>
              <w:spacing w:line="360" w:lineRule="auto"/>
              <w:ind w:left="-120"/>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ANORÍ</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3</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3</w:t>
            </w:r>
          </w:p>
        </w:tc>
      </w:tr>
      <w:tr w:rsidR="00506B2D">
        <w:trPr>
          <w:trHeight w:val="300"/>
        </w:trPr>
        <w:tc>
          <w:tcPr>
            <w:tcW w:w="0" w:type="auto"/>
          </w:tcPr>
          <w:p w:rsidR="00506B2D" w:rsidRDefault="008C5B26">
            <w:pPr>
              <w:spacing w:line="360" w:lineRule="auto"/>
              <w:ind w:left="-120"/>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BARBOSA</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w:t>
            </w:r>
          </w:p>
        </w:tc>
      </w:tr>
      <w:tr w:rsidR="00506B2D">
        <w:trPr>
          <w:trHeight w:val="300"/>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BELLO</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3</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5</w:t>
            </w:r>
          </w:p>
        </w:tc>
      </w:tr>
      <w:tr w:rsidR="00506B2D">
        <w:trPr>
          <w:trHeight w:val="300"/>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BETANIA</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5</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5</w:t>
            </w:r>
          </w:p>
        </w:tc>
      </w:tr>
      <w:tr w:rsidR="00506B2D">
        <w:trPr>
          <w:trHeight w:val="300"/>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CÁCERES</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w:t>
            </w:r>
          </w:p>
        </w:tc>
      </w:tr>
      <w:tr w:rsidR="00506B2D">
        <w:trPr>
          <w:trHeight w:val="300"/>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CALDAS</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w:t>
            </w:r>
          </w:p>
        </w:tc>
      </w:tr>
      <w:tr w:rsidR="00506B2D">
        <w:trPr>
          <w:trHeight w:val="300"/>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CAMPAMENTO</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w:t>
            </w:r>
          </w:p>
        </w:tc>
      </w:tr>
      <w:tr w:rsidR="00506B2D">
        <w:trPr>
          <w:trHeight w:val="300"/>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CAUCASIA</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11</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11</w:t>
            </w:r>
          </w:p>
        </w:tc>
      </w:tr>
      <w:tr w:rsidR="00506B2D">
        <w:trPr>
          <w:trHeight w:val="300"/>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CIUDAD BOLÍVAR</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w:t>
            </w:r>
          </w:p>
        </w:tc>
      </w:tr>
      <w:tr w:rsidR="00506B2D">
        <w:trPr>
          <w:trHeight w:val="300"/>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CONCORDIA</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w:t>
            </w:r>
          </w:p>
        </w:tc>
      </w:tr>
      <w:tr w:rsidR="00506B2D">
        <w:trPr>
          <w:trHeight w:val="300"/>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COPACABANA</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10</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11</w:t>
            </w:r>
          </w:p>
        </w:tc>
      </w:tr>
      <w:tr w:rsidR="00506B2D">
        <w:trPr>
          <w:trHeight w:val="300"/>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EL BAGRE</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5</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5</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ENVIGADO</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3</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5</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FREDONIA</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3</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5</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FRONTINO</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GUARNE</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9</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9</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ITAGÜÍ</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21</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21</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LA CEJA</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6</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8</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LA ESTRELLA</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LA UNIÓN</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MARINILLA</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3</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MEDELLÍN</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8</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147</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155</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NECHÍ</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PEÑOL</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5</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5</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PUERTO TRIUNFO</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RIONEGRO</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SAN PEDRO DE LOS MILAGROS</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SANTO DOMINGO</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SEGOVIA</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SONSÓN</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SOPETRÁN</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TÁMESIS</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TARAZÁ</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8</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8</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TURBO</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4</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4</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URRAO</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VALDIVIA</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6</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6</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VALPARAÍSO</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6</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6</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VENECIA</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9</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9</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ZARAGOZA</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ARAUCA</w:t>
            </w:r>
          </w:p>
        </w:tc>
        <w:tc>
          <w:tcPr>
            <w:tcW w:w="0" w:type="auto"/>
          </w:tcPr>
          <w:p w:rsidR="00506B2D" w:rsidRDefault="008C5B26">
            <w:pPr>
              <w:spacing w:line="360" w:lineRule="auto"/>
              <w:ind w:left="-142"/>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4</w:t>
            </w:r>
          </w:p>
        </w:tc>
        <w:tc>
          <w:tcPr>
            <w:tcW w:w="0" w:type="auto"/>
          </w:tcPr>
          <w:p w:rsidR="00506B2D" w:rsidRDefault="008C5B26">
            <w:pPr>
              <w:spacing w:line="360" w:lineRule="auto"/>
              <w:ind w:left="-142"/>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26</w:t>
            </w:r>
          </w:p>
        </w:tc>
        <w:tc>
          <w:tcPr>
            <w:tcW w:w="0" w:type="auto"/>
          </w:tcPr>
          <w:p w:rsidR="00506B2D" w:rsidRDefault="008C5B26">
            <w:pPr>
              <w:spacing w:line="360" w:lineRule="auto"/>
              <w:ind w:left="-142"/>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30</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ARAUCA</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5</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5</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ARAUQUITA</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3</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4</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FORTUL</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SARAVENA</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12</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12</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TAME</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6</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8</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ATLANTICO</w:t>
            </w:r>
          </w:p>
        </w:tc>
        <w:tc>
          <w:tcPr>
            <w:tcW w:w="0" w:type="auto"/>
          </w:tcPr>
          <w:p w:rsidR="00506B2D" w:rsidRDefault="008C5B26">
            <w:pPr>
              <w:spacing w:line="360" w:lineRule="auto"/>
              <w:ind w:left="-142"/>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8</w:t>
            </w:r>
          </w:p>
        </w:tc>
        <w:tc>
          <w:tcPr>
            <w:tcW w:w="0" w:type="auto"/>
          </w:tcPr>
          <w:p w:rsidR="00506B2D" w:rsidRDefault="008C5B26">
            <w:pPr>
              <w:spacing w:line="360" w:lineRule="auto"/>
              <w:ind w:left="-142"/>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79</w:t>
            </w:r>
          </w:p>
        </w:tc>
        <w:tc>
          <w:tcPr>
            <w:tcW w:w="0" w:type="auto"/>
          </w:tcPr>
          <w:p w:rsidR="00506B2D" w:rsidRDefault="008C5B26">
            <w:pPr>
              <w:spacing w:line="360" w:lineRule="auto"/>
              <w:ind w:left="-142"/>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87</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BARANOA</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7</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7</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BARRANQUILLA</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70</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72</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POLONUEVO</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PONEDERA</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4</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4</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PUERTO COLOMBIA</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TUBARÁ</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BOGOTÁ D.C.</w:t>
            </w:r>
          </w:p>
        </w:tc>
        <w:tc>
          <w:tcPr>
            <w:tcW w:w="0" w:type="auto"/>
          </w:tcPr>
          <w:p w:rsidR="00506B2D" w:rsidRDefault="008C5B26">
            <w:pPr>
              <w:spacing w:line="360" w:lineRule="auto"/>
              <w:ind w:left="-142"/>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7</w:t>
            </w:r>
          </w:p>
        </w:tc>
        <w:tc>
          <w:tcPr>
            <w:tcW w:w="0" w:type="auto"/>
          </w:tcPr>
          <w:p w:rsidR="00506B2D" w:rsidRDefault="008C5B26">
            <w:pPr>
              <w:spacing w:line="360" w:lineRule="auto"/>
              <w:ind w:left="-142"/>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308</w:t>
            </w:r>
          </w:p>
        </w:tc>
        <w:tc>
          <w:tcPr>
            <w:tcW w:w="0" w:type="auto"/>
          </w:tcPr>
          <w:p w:rsidR="00506B2D" w:rsidRDefault="008C5B26">
            <w:pPr>
              <w:spacing w:line="360" w:lineRule="auto"/>
              <w:ind w:left="-142"/>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315</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BOGOTÁ, D.C.</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7</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308</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315</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BOLIVAR</w:t>
            </w:r>
          </w:p>
        </w:tc>
        <w:tc>
          <w:tcPr>
            <w:tcW w:w="0" w:type="auto"/>
          </w:tcPr>
          <w:p w:rsidR="00506B2D" w:rsidRDefault="008C5B26">
            <w:pPr>
              <w:spacing w:line="360" w:lineRule="auto"/>
              <w:ind w:left="-142"/>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14</w:t>
            </w:r>
          </w:p>
        </w:tc>
        <w:tc>
          <w:tcPr>
            <w:tcW w:w="0" w:type="auto"/>
          </w:tcPr>
          <w:p w:rsidR="00506B2D" w:rsidRDefault="008C5B26">
            <w:pPr>
              <w:spacing w:line="360" w:lineRule="auto"/>
              <w:ind w:left="-142"/>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24</w:t>
            </w:r>
          </w:p>
        </w:tc>
        <w:tc>
          <w:tcPr>
            <w:tcW w:w="0" w:type="auto"/>
          </w:tcPr>
          <w:p w:rsidR="00506B2D" w:rsidRDefault="008C5B26">
            <w:pPr>
              <w:spacing w:line="360" w:lineRule="auto"/>
              <w:ind w:left="-142"/>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38</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CARTAGENA DE INDIAS</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4</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22</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26</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CÓRDOBA</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4</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4</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TURBACO</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3</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ZAMBRANO</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5</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5</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BOYACA</w:t>
            </w:r>
          </w:p>
        </w:tc>
        <w:tc>
          <w:tcPr>
            <w:tcW w:w="0" w:type="auto"/>
          </w:tcPr>
          <w:p w:rsidR="00506B2D" w:rsidRDefault="008C5B26">
            <w:pPr>
              <w:spacing w:line="360" w:lineRule="auto"/>
              <w:ind w:left="-142"/>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73</w:t>
            </w:r>
          </w:p>
        </w:tc>
        <w:tc>
          <w:tcPr>
            <w:tcW w:w="0" w:type="auto"/>
          </w:tcPr>
          <w:p w:rsidR="00506B2D" w:rsidRDefault="008C5B26">
            <w:pPr>
              <w:spacing w:line="360" w:lineRule="auto"/>
              <w:ind w:left="-142"/>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20</w:t>
            </w:r>
          </w:p>
        </w:tc>
        <w:tc>
          <w:tcPr>
            <w:tcW w:w="0" w:type="auto"/>
          </w:tcPr>
          <w:p w:rsidR="00506B2D" w:rsidRDefault="008C5B26">
            <w:pPr>
              <w:spacing w:line="360" w:lineRule="auto"/>
              <w:ind w:left="-142"/>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93</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DUITAMA</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3</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4</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GUATEQUE</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8</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8</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GUAYATÁ</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MUZO</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4</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OTANCHE</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10</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10</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PAUNA</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27</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27</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PUERTO BOYACÁ</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4</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4</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SAN JOSÉ DE PARE</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SAN MIGUEL DE SEMA</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11</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11</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SAN PABLO DE BORBUR</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SANTA MARÍA</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SANTA SOFÍA</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SOGAMOSO</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SOTAQUIRÁ</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TIBANÁ</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TUNJA</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15</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15</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CALDAS</w:t>
            </w:r>
          </w:p>
        </w:tc>
        <w:tc>
          <w:tcPr>
            <w:tcW w:w="0" w:type="auto"/>
          </w:tcPr>
          <w:p w:rsidR="00506B2D" w:rsidRDefault="008C5B26">
            <w:pPr>
              <w:spacing w:line="360" w:lineRule="auto"/>
              <w:ind w:left="-142"/>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39</w:t>
            </w:r>
          </w:p>
        </w:tc>
        <w:tc>
          <w:tcPr>
            <w:tcW w:w="0" w:type="auto"/>
          </w:tcPr>
          <w:p w:rsidR="00506B2D" w:rsidRDefault="008C5B26">
            <w:pPr>
              <w:spacing w:line="360" w:lineRule="auto"/>
              <w:ind w:left="-142"/>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35</w:t>
            </w:r>
          </w:p>
        </w:tc>
        <w:tc>
          <w:tcPr>
            <w:tcW w:w="0" w:type="auto"/>
          </w:tcPr>
          <w:p w:rsidR="00506B2D" w:rsidRDefault="008C5B26">
            <w:pPr>
              <w:spacing w:line="360" w:lineRule="auto"/>
              <w:ind w:left="-142"/>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74</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AGUADAS</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5</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5</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ANSERMA</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3</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3</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CHINCHINÁ</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6</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7</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LA DORADA</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12</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14</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MANIZALES</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4</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11</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15</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MARQUETALIA</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NEIRA</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PALESTINA</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3</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4</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PENSILVANIA</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14</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14</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RIOSUCIO</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SALAMINA</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SAMANÁ</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4</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4</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SUPÍA</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VILLAMARÍA</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VITERBO</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CAQUETA</w:t>
            </w:r>
          </w:p>
        </w:tc>
        <w:tc>
          <w:tcPr>
            <w:tcW w:w="0" w:type="auto"/>
          </w:tcPr>
          <w:p w:rsidR="00506B2D" w:rsidRDefault="008C5B26">
            <w:pPr>
              <w:spacing w:line="360" w:lineRule="auto"/>
              <w:ind w:left="-142"/>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62</w:t>
            </w:r>
          </w:p>
        </w:tc>
        <w:tc>
          <w:tcPr>
            <w:tcW w:w="0" w:type="auto"/>
          </w:tcPr>
          <w:p w:rsidR="00506B2D" w:rsidRDefault="008C5B26">
            <w:pPr>
              <w:spacing w:line="360" w:lineRule="auto"/>
              <w:ind w:left="-142"/>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13</w:t>
            </w:r>
          </w:p>
        </w:tc>
        <w:tc>
          <w:tcPr>
            <w:tcW w:w="0" w:type="auto"/>
          </w:tcPr>
          <w:p w:rsidR="00506B2D" w:rsidRDefault="008C5B26">
            <w:pPr>
              <w:spacing w:line="360" w:lineRule="auto"/>
              <w:ind w:left="-142"/>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75</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ALBANIA</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BELÉN DE LOS ANDAQUÍES</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CARTAGENA DEL CHAIRÁ</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8</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3</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11</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CURILLO</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EL DONCELLO</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9</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9</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EL PAUJÍL</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4</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4</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FLORENCIA</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16</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10</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26</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LA MONTAÑITA</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8</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8</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MILÁN</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5</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5</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MORELIA</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PUERTO RICO</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SAN VICENTE DEL CAGUÁN</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3</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3</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VALPARAÍSO</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CASANARE</w:t>
            </w:r>
          </w:p>
        </w:tc>
        <w:tc>
          <w:tcPr>
            <w:tcW w:w="0" w:type="auto"/>
          </w:tcPr>
          <w:p w:rsidR="00506B2D" w:rsidRDefault="008C5B26">
            <w:pPr>
              <w:spacing w:line="360" w:lineRule="auto"/>
              <w:ind w:left="-142"/>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12</w:t>
            </w:r>
          </w:p>
        </w:tc>
        <w:tc>
          <w:tcPr>
            <w:tcW w:w="0" w:type="auto"/>
          </w:tcPr>
          <w:p w:rsidR="00506B2D" w:rsidRDefault="008C5B26">
            <w:pPr>
              <w:spacing w:line="360" w:lineRule="auto"/>
              <w:ind w:left="-142"/>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8</w:t>
            </w:r>
          </w:p>
        </w:tc>
        <w:tc>
          <w:tcPr>
            <w:tcW w:w="0" w:type="auto"/>
          </w:tcPr>
          <w:p w:rsidR="00506B2D" w:rsidRDefault="008C5B26">
            <w:pPr>
              <w:spacing w:line="360" w:lineRule="auto"/>
              <w:ind w:left="-142"/>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20</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AGUAZUL</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5</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6</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MONTERREY</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PAZ DE ARIPORO</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YOPAL</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5</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6</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11</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CAUCA</w:t>
            </w:r>
          </w:p>
        </w:tc>
        <w:tc>
          <w:tcPr>
            <w:tcW w:w="0" w:type="auto"/>
          </w:tcPr>
          <w:p w:rsidR="00506B2D" w:rsidRDefault="008C5B26">
            <w:pPr>
              <w:spacing w:line="360" w:lineRule="auto"/>
              <w:ind w:left="-142"/>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17</w:t>
            </w:r>
          </w:p>
        </w:tc>
        <w:tc>
          <w:tcPr>
            <w:tcW w:w="0" w:type="auto"/>
          </w:tcPr>
          <w:p w:rsidR="00506B2D" w:rsidRDefault="008C5B26">
            <w:pPr>
              <w:spacing w:line="360" w:lineRule="auto"/>
              <w:ind w:left="-142"/>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26</w:t>
            </w:r>
          </w:p>
        </w:tc>
        <w:tc>
          <w:tcPr>
            <w:tcW w:w="0" w:type="auto"/>
          </w:tcPr>
          <w:p w:rsidR="00506B2D" w:rsidRDefault="008C5B26">
            <w:pPr>
              <w:spacing w:line="360" w:lineRule="auto"/>
              <w:ind w:left="-142"/>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43</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ARGELIA</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BALBOA</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3</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3</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BOLÍVAR</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CAJIBÍO</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CORINTO</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MERCADERES</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PATÍA</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POPAYÁN</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19</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20</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PUERTO TEJADA</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ROSAS</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SANTANDER DE QUILICHAO</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4</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4</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8</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SILVIA</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TIMBÍO</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CESAR</w:t>
            </w:r>
          </w:p>
        </w:tc>
        <w:tc>
          <w:tcPr>
            <w:tcW w:w="0" w:type="auto"/>
          </w:tcPr>
          <w:p w:rsidR="00506B2D" w:rsidRDefault="008C5B26">
            <w:pPr>
              <w:spacing w:line="360" w:lineRule="auto"/>
              <w:ind w:left="-142"/>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1</w:t>
            </w:r>
          </w:p>
        </w:tc>
        <w:tc>
          <w:tcPr>
            <w:tcW w:w="0" w:type="auto"/>
          </w:tcPr>
          <w:p w:rsidR="00506B2D" w:rsidRDefault="008C5B26">
            <w:pPr>
              <w:spacing w:line="360" w:lineRule="auto"/>
              <w:ind w:left="-142"/>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 </w:t>
            </w:r>
          </w:p>
        </w:tc>
        <w:tc>
          <w:tcPr>
            <w:tcW w:w="0" w:type="auto"/>
          </w:tcPr>
          <w:p w:rsidR="00506B2D" w:rsidRDefault="008C5B26">
            <w:pPr>
              <w:spacing w:line="360" w:lineRule="auto"/>
              <w:ind w:left="-142"/>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1</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SAN MARTÍN</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CHOCO</w:t>
            </w:r>
          </w:p>
        </w:tc>
        <w:tc>
          <w:tcPr>
            <w:tcW w:w="0" w:type="auto"/>
          </w:tcPr>
          <w:p w:rsidR="00506B2D" w:rsidRDefault="008C5B26">
            <w:pPr>
              <w:spacing w:line="360" w:lineRule="auto"/>
              <w:ind w:left="-142"/>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5</w:t>
            </w:r>
          </w:p>
        </w:tc>
        <w:tc>
          <w:tcPr>
            <w:tcW w:w="0" w:type="auto"/>
          </w:tcPr>
          <w:p w:rsidR="00506B2D" w:rsidRDefault="008C5B26">
            <w:pPr>
              <w:spacing w:line="360" w:lineRule="auto"/>
              <w:ind w:left="-142"/>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 </w:t>
            </w:r>
          </w:p>
        </w:tc>
        <w:tc>
          <w:tcPr>
            <w:tcW w:w="0" w:type="auto"/>
          </w:tcPr>
          <w:p w:rsidR="00506B2D" w:rsidRDefault="008C5B26">
            <w:pPr>
              <w:spacing w:line="360" w:lineRule="auto"/>
              <w:ind w:left="-142"/>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5</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BAHÍA SOLANO</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5</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5</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CORDOBA</w:t>
            </w:r>
          </w:p>
        </w:tc>
        <w:tc>
          <w:tcPr>
            <w:tcW w:w="0" w:type="auto"/>
          </w:tcPr>
          <w:p w:rsidR="00506B2D" w:rsidRDefault="008C5B26">
            <w:pPr>
              <w:spacing w:line="360" w:lineRule="auto"/>
              <w:ind w:left="-142"/>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35</w:t>
            </w:r>
          </w:p>
        </w:tc>
        <w:tc>
          <w:tcPr>
            <w:tcW w:w="0" w:type="auto"/>
          </w:tcPr>
          <w:p w:rsidR="00506B2D" w:rsidRDefault="008C5B26">
            <w:pPr>
              <w:spacing w:line="360" w:lineRule="auto"/>
              <w:ind w:left="-142"/>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26</w:t>
            </w:r>
          </w:p>
        </w:tc>
        <w:tc>
          <w:tcPr>
            <w:tcW w:w="0" w:type="auto"/>
          </w:tcPr>
          <w:p w:rsidR="00506B2D" w:rsidRDefault="008C5B26">
            <w:pPr>
              <w:spacing w:line="360" w:lineRule="auto"/>
              <w:ind w:left="-142"/>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61</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AYAPEL</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8</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8</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BUENAVISTA</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CERETÉ</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LA APARTADA</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20</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20</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LOS CÓRDOBAS</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MONTERÍA</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22</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24</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PLANETA RICA</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#N/A</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SAHAGÚN</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SAN ANTERO</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SAN BERNARDO DEL VIENTO</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CUNDINAMARCA</w:t>
            </w:r>
          </w:p>
        </w:tc>
        <w:tc>
          <w:tcPr>
            <w:tcW w:w="0" w:type="auto"/>
          </w:tcPr>
          <w:p w:rsidR="00506B2D" w:rsidRDefault="008C5B26">
            <w:pPr>
              <w:spacing w:line="360" w:lineRule="auto"/>
              <w:ind w:left="-142"/>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355</w:t>
            </w:r>
          </w:p>
        </w:tc>
        <w:tc>
          <w:tcPr>
            <w:tcW w:w="0" w:type="auto"/>
          </w:tcPr>
          <w:p w:rsidR="00506B2D" w:rsidRDefault="008C5B26">
            <w:pPr>
              <w:spacing w:line="360" w:lineRule="auto"/>
              <w:ind w:left="-142"/>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48</w:t>
            </w:r>
          </w:p>
        </w:tc>
        <w:tc>
          <w:tcPr>
            <w:tcW w:w="0" w:type="auto"/>
          </w:tcPr>
          <w:p w:rsidR="00506B2D" w:rsidRDefault="008C5B26">
            <w:pPr>
              <w:spacing w:line="360" w:lineRule="auto"/>
              <w:ind w:left="-142"/>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403</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CAJICÁ</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270</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270</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CHAGUANÍ</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15</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16</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CHÍA</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5</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7</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COTA</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4</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4</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EL PEÑÓN</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FACATATIVÁ</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3</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3</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FUSAGASUGÁ</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8</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7</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15</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GIRARDOT</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7</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9</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GUACHETÁ</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GUADUAS</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LA MESA</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MADRID</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MEDINA</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MOSQUERA</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NILO</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PACHO</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6</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3</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9</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PARATEBUENO</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PUERTO SALGAR</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18</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19</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RICAURTE</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5</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7</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SAN ANTONIO DEL TEQUENDAMA</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SAN CAYETANO</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SASAIMA</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SIBATÉ</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SOACHA</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9</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9</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SOPÓ</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3</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SUPATÁ</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TENJO</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TOCAIMA</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3</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4</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TOCANCIPÁ</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VERGARA</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3</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VILLETA</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YACOPÍ</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5</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5</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ZIPAQUIRÁ</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GUAJIRA</w:t>
            </w:r>
          </w:p>
        </w:tc>
        <w:tc>
          <w:tcPr>
            <w:tcW w:w="0" w:type="auto"/>
          </w:tcPr>
          <w:p w:rsidR="00506B2D" w:rsidRDefault="008C5B26">
            <w:pPr>
              <w:spacing w:line="360" w:lineRule="auto"/>
              <w:ind w:left="-142"/>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 </w:t>
            </w:r>
          </w:p>
        </w:tc>
        <w:tc>
          <w:tcPr>
            <w:tcW w:w="0" w:type="auto"/>
          </w:tcPr>
          <w:p w:rsidR="00506B2D" w:rsidRDefault="008C5B26">
            <w:pPr>
              <w:spacing w:line="360" w:lineRule="auto"/>
              <w:ind w:left="-142"/>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1</w:t>
            </w:r>
          </w:p>
        </w:tc>
        <w:tc>
          <w:tcPr>
            <w:tcW w:w="0" w:type="auto"/>
          </w:tcPr>
          <w:p w:rsidR="00506B2D" w:rsidRDefault="008C5B26">
            <w:pPr>
              <w:spacing w:line="360" w:lineRule="auto"/>
              <w:ind w:left="-142"/>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1</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RIOHACHA</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GUAVIARE</w:t>
            </w:r>
          </w:p>
        </w:tc>
        <w:tc>
          <w:tcPr>
            <w:tcW w:w="0" w:type="auto"/>
          </w:tcPr>
          <w:p w:rsidR="00506B2D" w:rsidRDefault="008C5B26">
            <w:pPr>
              <w:spacing w:line="360" w:lineRule="auto"/>
              <w:ind w:left="-142"/>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1</w:t>
            </w:r>
          </w:p>
        </w:tc>
        <w:tc>
          <w:tcPr>
            <w:tcW w:w="0" w:type="auto"/>
          </w:tcPr>
          <w:p w:rsidR="00506B2D" w:rsidRDefault="008C5B26">
            <w:pPr>
              <w:spacing w:line="360" w:lineRule="auto"/>
              <w:ind w:left="-142"/>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 </w:t>
            </w:r>
          </w:p>
        </w:tc>
        <w:tc>
          <w:tcPr>
            <w:tcW w:w="0" w:type="auto"/>
          </w:tcPr>
          <w:p w:rsidR="00506B2D" w:rsidRDefault="008C5B26">
            <w:pPr>
              <w:spacing w:line="360" w:lineRule="auto"/>
              <w:ind w:left="-142"/>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1</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SAN JOSÉ DEL GUAVIARE</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HUILA</w:t>
            </w:r>
          </w:p>
        </w:tc>
        <w:tc>
          <w:tcPr>
            <w:tcW w:w="0" w:type="auto"/>
          </w:tcPr>
          <w:p w:rsidR="00506B2D" w:rsidRDefault="008C5B26">
            <w:pPr>
              <w:spacing w:line="360" w:lineRule="auto"/>
              <w:ind w:left="-142"/>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5</w:t>
            </w:r>
          </w:p>
        </w:tc>
        <w:tc>
          <w:tcPr>
            <w:tcW w:w="0" w:type="auto"/>
          </w:tcPr>
          <w:p w:rsidR="00506B2D" w:rsidRDefault="008C5B26">
            <w:pPr>
              <w:spacing w:line="360" w:lineRule="auto"/>
              <w:ind w:left="-142"/>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17</w:t>
            </w:r>
          </w:p>
        </w:tc>
        <w:tc>
          <w:tcPr>
            <w:tcW w:w="0" w:type="auto"/>
          </w:tcPr>
          <w:p w:rsidR="00506B2D" w:rsidRDefault="008C5B26">
            <w:pPr>
              <w:spacing w:line="360" w:lineRule="auto"/>
              <w:ind w:left="-142"/>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22</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AIPE</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ALGECIRAS</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GUADALUPE</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NEIVA</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16</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16</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PITALITO</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TELLO</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MAGDALENA</w:t>
            </w:r>
          </w:p>
        </w:tc>
        <w:tc>
          <w:tcPr>
            <w:tcW w:w="0" w:type="auto"/>
          </w:tcPr>
          <w:p w:rsidR="00506B2D" w:rsidRDefault="008C5B26">
            <w:pPr>
              <w:spacing w:line="360" w:lineRule="auto"/>
              <w:ind w:left="-142"/>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3</w:t>
            </w:r>
          </w:p>
        </w:tc>
        <w:tc>
          <w:tcPr>
            <w:tcW w:w="0" w:type="auto"/>
          </w:tcPr>
          <w:p w:rsidR="00506B2D" w:rsidRDefault="008C5B26">
            <w:pPr>
              <w:spacing w:line="360" w:lineRule="auto"/>
              <w:ind w:left="-142"/>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81</w:t>
            </w:r>
          </w:p>
        </w:tc>
        <w:tc>
          <w:tcPr>
            <w:tcW w:w="0" w:type="auto"/>
          </w:tcPr>
          <w:p w:rsidR="00506B2D" w:rsidRDefault="008C5B26">
            <w:pPr>
              <w:spacing w:line="360" w:lineRule="auto"/>
              <w:ind w:left="-142"/>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84</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SANTA MARTA</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3</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81</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84</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META</w:t>
            </w:r>
          </w:p>
        </w:tc>
        <w:tc>
          <w:tcPr>
            <w:tcW w:w="0" w:type="auto"/>
          </w:tcPr>
          <w:p w:rsidR="00506B2D" w:rsidRDefault="008C5B26">
            <w:pPr>
              <w:spacing w:line="360" w:lineRule="auto"/>
              <w:ind w:left="-142"/>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18</w:t>
            </w:r>
          </w:p>
        </w:tc>
        <w:tc>
          <w:tcPr>
            <w:tcW w:w="0" w:type="auto"/>
          </w:tcPr>
          <w:p w:rsidR="00506B2D" w:rsidRDefault="008C5B26">
            <w:pPr>
              <w:spacing w:line="360" w:lineRule="auto"/>
              <w:ind w:left="-142"/>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49</w:t>
            </w:r>
          </w:p>
        </w:tc>
        <w:tc>
          <w:tcPr>
            <w:tcW w:w="0" w:type="auto"/>
          </w:tcPr>
          <w:p w:rsidR="00506B2D" w:rsidRDefault="008C5B26">
            <w:pPr>
              <w:spacing w:line="360" w:lineRule="auto"/>
              <w:ind w:left="-142"/>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67</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EL DORADO</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3</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3</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GRANADA</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PUERTO LLERAS</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PUERTO LÓPEZ</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4</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4</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PUERTO RICO</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RESTREPO</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SAN CARLOS DE GUAROA</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VILLAVICENCIO</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6</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48</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54</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VISTAHERMOSA</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NARIÑO</w:t>
            </w:r>
          </w:p>
        </w:tc>
        <w:tc>
          <w:tcPr>
            <w:tcW w:w="0" w:type="auto"/>
          </w:tcPr>
          <w:p w:rsidR="00506B2D" w:rsidRDefault="008C5B26">
            <w:pPr>
              <w:spacing w:line="360" w:lineRule="auto"/>
              <w:ind w:left="-142"/>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24</w:t>
            </w:r>
          </w:p>
        </w:tc>
        <w:tc>
          <w:tcPr>
            <w:tcW w:w="0" w:type="auto"/>
          </w:tcPr>
          <w:p w:rsidR="00506B2D" w:rsidRDefault="008C5B26">
            <w:pPr>
              <w:spacing w:line="360" w:lineRule="auto"/>
              <w:ind w:left="-142"/>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20</w:t>
            </w:r>
          </w:p>
        </w:tc>
        <w:tc>
          <w:tcPr>
            <w:tcW w:w="0" w:type="auto"/>
          </w:tcPr>
          <w:p w:rsidR="00506B2D" w:rsidRDefault="008C5B26">
            <w:pPr>
              <w:spacing w:line="360" w:lineRule="auto"/>
              <w:ind w:left="-142"/>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44</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EL PEÑOL</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3</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3</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EL TAMBO</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FUNES</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3</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4</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PASTO</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14</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15</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PUERRES</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SAMANIEGO</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SAN ANDRÉS DE TUMACO</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11</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5</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16</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TÚQUERRES</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3</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3</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NORTE DE SANTANDER</w:t>
            </w:r>
          </w:p>
        </w:tc>
        <w:tc>
          <w:tcPr>
            <w:tcW w:w="0" w:type="auto"/>
          </w:tcPr>
          <w:p w:rsidR="00506B2D" w:rsidRDefault="008C5B26">
            <w:pPr>
              <w:spacing w:line="360" w:lineRule="auto"/>
              <w:ind w:left="-142"/>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5</w:t>
            </w:r>
          </w:p>
        </w:tc>
        <w:tc>
          <w:tcPr>
            <w:tcW w:w="0" w:type="auto"/>
          </w:tcPr>
          <w:p w:rsidR="00506B2D" w:rsidRDefault="008C5B26">
            <w:pPr>
              <w:spacing w:line="360" w:lineRule="auto"/>
              <w:ind w:left="-142"/>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20</w:t>
            </w:r>
          </w:p>
        </w:tc>
        <w:tc>
          <w:tcPr>
            <w:tcW w:w="0" w:type="auto"/>
          </w:tcPr>
          <w:p w:rsidR="00506B2D" w:rsidRDefault="008C5B26">
            <w:pPr>
              <w:spacing w:line="360" w:lineRule="auto"/>
              <w:ind w:left="-142"/>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25</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BOCHALEMA</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CÚCUTA</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14</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14</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EL ZULIA</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3</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LOS PATIOS</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4</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SAN CAYETANO</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TOLEDO</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PUTUMAYO</w:t>
            </w:r>
          </w:p>
        </w:tc>
        <w:tc>
          <w:tcPr>
            <w:tcW w:w="0" w:type="auto"/>
          </w:tcPr>
          <w:p w:rsidR="00506B2D" w:rsidRDefault="008C5B26">
            <w:pPr>
              <w:spacing w:line="360" w:lineRule="auto"/>
              <w:ind w:left="-142"/>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14</w:t>
            </w:r>
          </w:p>
        </w:tc>
        <w:tc>
          <w:tcPr>
            <w:tcW w:w="0" w:type="auto"/>
          </w:tcPr>
          <w:p w:rsidR="00506B2D" w:rsidRDefault="008C5B26">
            <w:pPr>
              <w:spacing w:line="360" w:lineRule="auto"/>
              <w:ind w:left="-142"/>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3</w:t>
            </w:r>
          </w:p>
        </w:tc>
        <w:tc>
          <w:tcPr>
            <w:tcW w:w="0" w:type="auto"/>
          </w:tcPr>
          <w:p w:rsidR="00506B2D" w:rsidRDefault="008C5B26">
            <w:pPr>
              <w:spacing w:line="360" w:lineRule="auto"/>
              <w:ind w:left="-142"/>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17</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MOCOA</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3</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3</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ORITO</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3</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3</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PUERTO ASÍS</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PUERTO CAICEDO</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3</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3</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VALLE DEL GUAMUEZ</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6</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6</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VILLAGARZÓN</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QUINDIO</w:t>
            </w:r>
          </w:p>
        </w:tc>
        <w:tc>
          <w:tcPr>
            <w:tcW w:w="0" w:type="auto"/>
          </w:tcPr>
          <w:p w:rsidR="00506B2D" w:rsidRDefault="008C5B26">
            <w:pPr>
              <w:spacing w:line="360" w:lineRule="auto"/>
              <w:ind w:left="-142"/>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18</w:t>
            </w:r>
          </w:p>
        </w:tc>
        <w:tc>
          <w:tcPr>
            <w:tcW w:w="0" w:type="auto"/>
          </w:tcPr>
          <w:p w:rsidR="00506B2D" w:rsidRDefault="008C5B26">
            <w:pPr>
              <w:spacing w:line="360" w:lineRule="auto"/>
              <w:ind w:left="-142"/>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50</w:t>
            </w:r>
          </w:p>
        </w:tc>
        <w:tc>
          <w:tcPr>
            <w:tcW w:w="0" w:type="auto"/>
          </w:tcPr>
          <w:p w:rsidR="00506B2D" w:rsidRDefault="008C5B26">
            <w:pPr>
              <w:spacing w:line="360" w:lineRule="auto"/>
              <w:ind w:left="-142"/>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68</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ARMENIA</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27</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29</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CIRCASIA</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4</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6</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GÉNOVA</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LA TEBAIDA</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6</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14</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20</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MONTENEGRO</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5</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4</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9</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QUIMBAYA</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3</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3</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RISARALDA</w:t>
            </w:r>
          </w:p>
        </w:tc>
        <w:tc>
          <w:tcPr>
            <w:tcW w:w="0" w:type="auto"/>
          </w:tcPr>
          <w:p w:rsidR="00506B2D" w:rsidRDefault="008C5B26">
            <w:pPr>
              <w:spacing w:line="360" w:lineRule="auto"/>
              <w:ind w:left="-142"/>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7</w:t>
            </w:r>
          </w:p>
        </w:tc>
        <w:tc>
          <w:tcPr>
            <w:tcW w:w="0" w:type="auto"/>
          </w:tcPr>
          <w:p w:rsidR="00506B2D" w:rsidRDefault="008C5B26">
            <w:pPr>
              <w:spacing w:line="360" w:lineRule="auto"/>
              <w:ind w:left="-142"/>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61</w:t>
            </w:r>
          </w:p>
        </w:tc>
        <w:tc>
          <w:tcPr>
            <w:tcW w:w="0" w:type="auto"/>
          </w:tcPr>
          <w:p w:rsidR="00506B2D" w:rsidRDefault="008C5B26">
            <w:pPr>
              <w:spacing w:line="360" w:lineRule="auto"/>
              <w:ind w:left="-142"/>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68</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DOSQUEBRADAS</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5</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7</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LA CELIA</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LA VIRGINIA</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PEREIRA</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54</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56</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QUINCHÍA</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SANTUARIO</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SAN ANDRES Y PROVIDENCIA</w:t>
            </w:r>
          </w:p>
        </w:tc>
        <w:tc>
          <w:tcPr>
            <w:tcW w:w="0" w:type="auto"/>
          </w:tcPr>
          <w:p w:rsidR="00506B2D" w:rsidRDefault="008C5B26">
            <w:pPr>
              <w:spacing w:line="360" w:lineRule="auto"/>
              <w:ind w:left="-142"/>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1</w:t>
            </w:r>
          </w:p>
        </w:tc>
        <w:tc>
          <w:tcPr>
            <w:tcW w:w="0" w:type="auto"/>
          </w:tcPr>
          <w:p w:rsidR="00506B2D" w:rsidRDefault="008C5B26">
            <w:pPr>
              <w:spacing w:line="360" w:lineRule="auto"/>
              <w:ind w:left="-142"/>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10</w:t>
            </w:r>
          </w:p>
        </w:tc>
        <w:tc>
          <w:tcPr>
            <w:tcW w:w="0" w:type="auto"/>
          </w:tcPr>
          <w:p w:rsidR="00506B2D" w:rsidRDefault="008C5B26">
            <w:pPr>
              <w:spacing w:line="360" w:lineRule="auto"/>
              <w:ind w:left="-142"/>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11</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SAN ANDRÉS</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10</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11</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SANTANDER</w:t>
            </w:r>
          </w:p>
        </w:tc>
        <w:tc>
          <w:tcPr>
            <w:tcW w:w="0" w:type="auto"/>
          </w:tcPr>
          <w:p w:rsidR="00506B2D" w:rsidRDefault="008C5B26">
            <w:pPr>
              <w:spacing w:line="360" w:lineRule="auto"/>
              <w:ind w:left="-142"/>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9</w:t>
            </w:r>
          </w:p>
        </w:tc>
        <w:tc>
          <w:tcPr>
            <w:tcW w:w="0" w:type="auto"/>
          </w:tcPr>
          <w:p w:rsidR="00506B2D" w:rsidRDefault="008C5B26">
            <w:pPr>
              <w:spacing w:line="360" w:lineRule="auto"/>
              <w:ind w:left="-142"/>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29</w:t>
            </w:r>
          </w:p>
        </w:tc>
        <w:tc>
          <w:tcPr>
            <w:tcW w:w="0" w:type="auto"/>
          </w:tcPr>
          <w:p w:rsidR="00506B2D" w:rsidRDefault="008C5B26">
            <w:pPr>
              <w:spacing w:line="360" w:lineRule="auto"/>
              <w:ind w:left="-142"/>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38</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ALBANIA</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BUCARAMANGA</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15</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15</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CIMITARRA</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4</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4</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EL PLAYÓN</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3</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FLORIDABLANCA</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GIRÓN</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LA BELLEZA</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MÁLAGA</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6</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6</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MATANZA</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PIEDECUESTA</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3</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3</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SOCORRO</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SUAITA</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SUCRE</w:t>
            </w:r>
          </w:p>
        </w:tc>
        <w:tc>
          <w:tcPr>
            <w:tcW w:w="0" w:type="auto"/>
          </w:tcPr>
          <w:p w:rsidR="00506B2D" w:rsidRDefault="008C5B26">
            <w:pPr>
              <w:spacing w:line="360" w:lineRule="auto"/>
              <w:ind w:left="-142"/>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 </w:t>
            </w:r>
          </w:p>
        </w:tc>
        <w:tc>
          <w:tcPr>
            <w:tcW w:w="0" w:type="auto"/>
          </w:tcPr>
          <w:p w:rsidR="00506B2D" w:rsidRDefault="008C5B26">
            <w:pPr>
              <w:spacing w:line="360" w:lineRule="auto"/>
              <w:ind w:left="-142"/>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4</w:t>
            </w:r>
          </w:p>
        </w:tc>
        <w:tc>
          <w:tcPr>
            <w:tcW w:w="0" w:type="auto"/>
          </w:tcPr>
          <w:p w:rsidR="00506B2D" w:rsidRDefault="008C5B26">
            <w:pPr>
              <w:spacing w:line="360" w:lineRule="auto"/>
              <w:ind w:left="-142"/>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4</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SINCELEJO</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4</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4</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TOLIMA</w:t>
            </w:r>
          </w:p>
        </w:tc>
        <w:tc>
          <w:tcPr>
            <w:tcW w:w="0" w:type="auto"/>
          </w:tcPr>
          <w:p w:rsidR="00506B2D" w:rsidRDefault="008C5B26">
            <w:pPr>
              <w:spacing w:line="360" w:lineRule="auto"/>
              <w:ind w:left="-142"/>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22</w:t>
            </w:r>
          </w:p>
        </w:tc>
        <w:tc>
          <w:tcPr>
            <w:tcW w:w="0" w:type="auto"/>
          </w:tcPr>
          <w:p w:rsidR="00506B2D" w:rsidRDefault="008C5B26">
            <w:pPr>
              <w:spacing w:line="360" w:lineRule="auto"/>
              <w:ind w:left="-142"/>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40</w:t>
            </w:r>
          </w:p>
        </w:tc>
        <w:tc>
          <w:tcPr>
            <w:tcW w:w="0" w:type="auto"/>
          </w:tcPr>
          <w:p w:rsidR="00506B2D" w:rsidRDefault="008C5B26">
            <w:pPr>
              <w:spacing w:line="360" w:lineRule="auto"/>
              <w:ind w:left="-142"/>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62</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AMBALEMA</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ANZOÁTEGUI</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ARMERO</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CHAPARRAL</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COYAIMA</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ESPINAL</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3</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FLANDES</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4</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4</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FRESNO</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GUAMO</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IBAGUÉ</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25</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27</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LÉRIDA</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MELGAR</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4</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4</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PIEDRAS</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RIOBLANCO</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RONCESVALLES</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6</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6</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SALDAÑA</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SAN ANTONIO</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VENADILLO</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VILLARRICA</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VALLE</w:t>
            </w:r>
          </w:p>
        </w:tc>
        <w:tc>
          <w:tcPr>
            <w:tcW w:w="0" w:type="auto"/>
          </w:tcPr>
          <w:p w:rsidR="00506B2D" w:rsidRDefault="008C5B26">
            <w:pPr>
              <w:spacing w:line="360" w:lineRule="auto"/>
              <w:ind w:left="-142"/>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362</w:t>
            </w:r>
          </w:p>
        </w:tc>
        <w:tc>
          <w:tcPr>
            <w:tcW w:w="0" w:type="auto"/>
          </w:tcPr>
          <w:p w:rsidR="00506B2D" w:rsidRDefault="008C5B26">
            <w:pPr>
              <w:spacing w:line="360" w:lineRule="auto"/>
              <w:ind w:left="-142"/>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601</w:t>
            </w:r>
          </w:p>
        </w:tc>
        <w:tc>
          <w:tcPr>
            <w:tcW w:w="0" w:type="auto"/>
          </w:tcPr>
          <w:p w:rsidR="00506B2D" w:rsidRDefault="008C5B26">
            <w:pPr>
              <w:spacing w:line="360" w:lineRule="auto"/>
              <w:ind w:left="-142"/>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963</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ALCALÁ</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11</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11</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ANDALUCÍA</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11</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12</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BOLÍVAR</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5</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6</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BUENAVENTURA</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15</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16</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BUGALAGRANDE</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15</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15</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CAICEDONIA</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CALI</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25</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439</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464</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CALIMA</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57</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58</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CANDELARIA</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5</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7</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CARTAGO</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5</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16</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21</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DAGUA</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30</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3</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33</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EL CERRITO</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15</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16</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EL DOVIO</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5</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6</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FLORIDA</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GINEBRA</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9</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9</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GUACARÍ</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5</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5</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GUADALAJARA DE BUGA</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14</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49</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63</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JAMUNDÍ</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8</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4</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12</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LA CUMBRE</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5</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3</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8</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LA UNIÓN</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3</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OBANDO</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PALMIRA</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13</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30</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43</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PRADERA</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4</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5</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RESTREPO</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10</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3</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13</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RIOFRÍO</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6</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6</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ROLDANILLO</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5</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5</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SAN PEDRO</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3</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SEVILLA</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TORO</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7</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7</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TULUÁ</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23</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11</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34</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VIJES</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YOTOCO</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51</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5</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56</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YUMBO</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3</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8</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11</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ZARZAL</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7</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w:t>
            </w:r>
          </w:p>
        </w:tc>
        <w:tc>
          <w:tcPr>
            <w:tcW w:w="0" w:type="auto"/>
          </w:tcPr>
          <w:p w:rsidR="00506B2D" w:rsidRDefault="008C5B26">
            <w:pPr>
              <w:spacing w:line="360" w:lineRule="auto"/>
              <w:ind w:left="-1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8</w:t>
            </w:r>
          </w:p>
        </w:tc>
      </w:tr>
      <w:tr w:rsidR="00506B2D">
        <w:trPr>
          <w:trHeight w:val="315"/>
        </w:trPr>
        <w:tc>
          <w:tcPr>
            <w:tcW w:w="0" w:type="auto"/>
          </w:tcPr>
          <w:p w:rsidR="00506B2D" w:rsidRDefault="008C5B26">
            <w:pPr>
              <w:spacing w:line="360" w:lineRule="auto"/>
              <w:ind w:left="-142"/>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Total general</w:t>
            </w:r>
          </w:p>
        </w:tc>
        <w:tc>
          <w:tcPr>
            <w:tcW w:w="0" w:type="auto"/>
          </w:tcPr>
          <w:p w:rsidR="00506B2D" w:rsidRDefault="008C5B26">
            <w:pPr>
              <w:spacing w:line="360" w:lineRule="auto"/>
              <w:ind w:left="-142"/>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1218</w:t>
            </w:r>
          </w:p>
        </w:tc>
        <w:tc>
          <w:tcPr>
            <w:tcW w:w="0" w:type="auto"/>
          </w:tcPr>
          <w:p w:rsidR="00506B2D" w:rsidRDefault="008C5B26">
            <w:pPr>
              <w:spacing w:line="360" w:lineRule="auto"/>
              <w:ind w:left="-142"/>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1855</w:t>
            </w:r>
          </w:p>
        </w:tc>
        <w:tc>
          <w:tcPr>
            <w:tcW w:w="0" w:type="auto"/>
          </w:tcPr>
          <w:p w:rsidR="00506B2D" w:rsidRDefault="008C5B26">
            <w:pPr>
              <w:spacing w:line="360" w:lineRule="auto"/>
              <w:ind w:left="-142"/>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3073</w:t>
            </w:r>
          </w:p>
        </w:tc>
      </w:tr>
    </w:tbl>
    <w:p w:rsidR="00506B2D" w:rsidRDefault="008C5B26">
      <w:pPr>
        <w:spacing w:line="360" w:lineRule="auto"/>
        <w:ind w:left="-142"/>
        <w:jc w:val="center"/>
        <w:rPr>
          <w:rFonts w:ascii="Bookman Old Style" w:eastAsia="Bookman Old Style" w:hAnsi="Bookman Old Style" w:cs="Bookman Old Style"/>
          <w:sz w:val="22"/>
          <w:szCs w:val="22"/>
          <w:vertAlign w:val="subscript"/>
        </w:rPr>
      </w:pPr>
      <w:r>
        <w:rPr>
          <w:rFonts w:ascii="Bookman Old Style" w:eastAsia="Bookman Old Style" w:hAnsi="Bookman Old Style" w:cs="Bookman Old Style"/>
          <w:sz w:val="22"/>
          <w:szCs w:val="22"/>
          <w:vertAlign w:val="subscript"/>
        </w:rPr>
        <w:t>Tabla extraída de respuesta Derecho de Petición SAE (2020)</w:t>
      </w:r>
    </w:p>
    <w:p w:rsidR="00506B2D" w:rsidRDefault="00506B2D">
      <w:pPr>
        <w:spacing w:line="360" w:lineRule="auto"/>
        <w:ind w:left="-142"/>
        <w:jc w:val="both"/>
        <w:rPr>
          <w:rFonts w:ascii="Bookman Old Style" w:eastAsia="Bookman Old Style" w:hAnsi="Bookman Old Style" w:cs="Bookman Old Style"/>
          <w:sz w:val="22"/>
          <w:szCs w:val="22"/>
        </w:rPr>
      </w:pPr>
    </w:p>
    <w:p w:rsidR="00506B2D" w:rsidRDefault="00506B2D">
      <w:pPr>
        <w:spacing w:line="360" w:lineRule="auto"/>
        <w:jc w:val="both"/>
        <w:rPr>
          <w:rFonts w:ascii="Bookman Old Style" w:eastAsia="Bookman Old Style" w:hAnsi="Bookman Old Style" w:cs="Bookman Old Style"/>
          <w:sz w:val="22"/>
          <w:szCs w:val="22"/>
        </w:rPr>
      </w:pPr>
    </w:p>
    <w:p w:rsidR="00506B2D" w:rsidRDefault="008C5B26">
      <w:pPr>
        <w:numPr>
          <w:ilvl w:val="0"/>
          <w:numId w:val="3"/>
        </w:numPr>
        <w:pBdr>
          <w:top w:val="nil"/>
          <w:left w:val="nil"/>
          <w:bottom w:val="nil"/>
          <w:right w:val="nil"/>
          <w:between w:val="nil"/>
        </w:pBdr>
        <w:spacing w:after="160" w:line="360" w:lineRule="auto"/>
        <w:rPr>
          <w:rFonts w:ascii="Bookman Old Style" w:eastAsia="Bookman Old Style" w:hAnsi="Bookman Old Style" w:cs="Bookman Old Style"/>
          <w:color w:val="000000"/>
          <w:sz w:val="22"/>
          <w:szCs w:val="22"/>
        </w:rPr>
      </w:pPr>
      <w:r>
        <w:rPr>
          <w:rFonts w:ascii="Bookman Old Style" w:eastAsia="Bookman Old Style" w:hAnsi="Bookman Old Style" w:cs="Bookman Old Style"/>
          <w:b/>
          <w:color w:val="000000"/>
          <w:sz w:val="22"/>
          <w:szCs w:val="22"/>
        </w:rPr>
        <w:t>DERECHO COMPARADO</w:t>
      </w:r>
    </w:p>
    <w:p w:rsidR="00506B2D" w:rsidRDefault="008C5B26">
      <w:pPr>
        <w:pBdr>
          <w:top w:val="nil"/>
          <w:left w:val="nil"/>
          <w:bottom w:val="nil"/>
          <w:right w:val="nil"/>
          <w:between w:val="nil"/>
        </w:pBdr>
        <w:spacing w:after="160" w:line="360" w:lineRule="auto"/>
        <w:ind w:left="-142"/>
        <w:rPr>
          <w:rFonts w:ascii="Bookman Old Style" w:eastAsia="Bookman Old Style" w:hAnsi="Bookman Old Style" w:cs="Bookman Old Style"/>
          <w:color w:val="000000"/>
          <w:sz w:val="22"/>
          <w:szCs w:val="22"/>
        </w:rPr>
      </w:pPr>
      <w:r>
        <w:rPr>
          <w:rFonts w:ascii="Bookman Old Style" w:eastAsia="Bookman Old Style" w:hAnsi="Bookman Old Style" w:cs="Bookman Old Style"/>
          <w:b/>
          <w:sz w:val="22"/>
          <w:szCs w:val="22"/>
        </w:rPr>
        <w:t>La extinción de dominio en Perú, Argentina y México</w:t>
      </w:r>
    </w:p>
    <w:p w:rsidR="00506B2D" w:rsidRDefault="008C5B26">
      <w:pPr>
        <w:pBdr>
          <w:top w:val="nil"/>
          <w:left w:val="nil"/>
          <w:bottom w:val="nil"/>
          <w:right w:val="nil"/>
          <w:between w:val="nil"/>
        </w:pBdr>
        <w:spacing w:after="160" w:line="360" w:lineRule="auto"/>
        <w:ind w:left="-142"/>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sz w:val="22"/>
          <w:szCs w:val="22"/>
        </w:rPr>
        <w:t>A pesar de que la figura de extinción de dominio es común en la tradición jurídica colombiana, no lo es para el contexto latinoamericano. Como se expuso, la Constitución Política de 1991 trajo consigo en el artículo 34 la figura de la extinción como una he</w:t>
      </w:r>
      <w:r>
        <w:rPr>
          <w:rFonts w:ascii="Bookman Old Style" w:eastAsia="Bookman Old Style" w:hAnsi="Bookman Old Style" w:cs="Bookman Old Style"/>
          <w:sz w:val="22"/>
          <w:szCs w:val="22"/>
        </w:rPr>
        <w:t xml:space="preserve">rramienta para enfrentar al narcotráfico y la corrupción. Sin embargo, no fue desarrollado sino hasta 1996 a través de la Ley 333 “Por la cual se establecen las normas de extinción de dominio sobre los bienes adquiridos en forma ilícita”. </w:t>
      </w:r>
    </w:p>
    <w:tbl>
      <w:tblPr>
        <w:tblStyle w:val="a2"/>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56"/>
        <w:gridCol w:w="866"/>
        <w:gridCol w:w="2346"/>
        <w:gridCol w:w="4360"/>
      </w:tblGrid>
      <w:tr w:rsidR="00506B2D">
        <w:tc>
          <w:tcPr>
            <w:tcW w:w="0" w:type="auto"/>
          </w:tcPr>
          <w:p w:rsidR="00506B2D" w:rsidRDefault="008C5B26">
            <w:pPr>
              <w:spacing w:line="360" w:lineRule="auto"/>
              <w:jc w:val="center"/>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País</w:t>
            </w:r>
          </w:p>
        </w:tc>
        <w:tc>
          <w:tcPr>
            <w:tcW w:w="0" w:type="auto"/>
          </w:tcPr>
          <w:p w:rsidR="00506B2D" w:rsidRDefault="008C5B26">
            <w:pPr>
              <w:spacing w:line="360" w:lineRule="auto"/>
              <w:jc w:val="center"/>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Año</w:t>
            </w:r>
          </w:p>
        </w:tc>
        <w:tc>
          <w:tcPr>
            <w:tcW w:w="0" w:type="auto"/>
          </w:tcPr>
          <w:p w:rsidR="00506B2D" w:rsidRDefault="008C5B26">
            <w:pPr>
              <w:spacing w:line="360" w:lineRule="auto"/>
              <w:jc w:val="center"/>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Ley/ re</w:t>
            </w:r>
            <w:r>
              <w:rPr>
                <w:rFonts w:ascii="Bookman Old Style" w:eastAsia="Bookman Old Style" w:hAnsi="Bookman Old Style" w:cs="Bookman Old Style"/>
                <w:b/>
                <w:sz w:val="22"/>
                <w:szCs w:val="22"/>
              </w:rPr>
              <w:t>forma constitucional</w:t>
            </w:r>
          </w:p>
        </w:tc>
        <w:tc>
          <w:tcPr>
            <w:tcW w:w="0" w:type="auto"/>
          </w:tcPr>
          <w:p w:rsidR="00506B2D" w:rsidRDefault="008C5B26">
            <w:pPr>
              <w:spacing w:line="360" w:lineRule="auto"/>
              <w:jc w:val="center"/>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Objeto</w:t>
            </w:r>
          </w:p>
        </w:tc>
      </w:tr>
      <w:tr w:rsidR="00506B2D">
        <w:tc>
          <w:tcPr>
            <w:tcW w:w="0" w:type="auto"/>
          </w:tcPr>
          <w:p w:rsidR="00506B2D" w:rsidRDefault="008C5B26">
            <w:pPr>
              <w:spacing w:line="360" w:lineRule="auto"/>
              <w:jc w:val="center"/>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México</w:t>
            </w:r>
          </w:p>
        </w:tc>
        <w:tc>
          <w:tcPr>
            <w:tcW w:w="0" w:type="auto"/>
          </w:tcPr>
          <w:p w:rsidR="00506B2D" w:rsidRDefault="008C5B26">
            <w:pPr>
              <w:spacing w:line="360" w:lineRule="auto"/>
              <w:jc w:val="center"/>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2008</w:t>
            </w:r>
          </w:p>
        </w:tc>
        <w:tc>
          <w:tcPr>
            <w:tcW w:w="0" w:type="auto"/>
          </w:tcPr>
          <w:p w:rsidR="00506B2D" w:rsidRDefault="008C5B26">
            <w:pPr>
              <w:spacing w:line="360" w:lineRule="auto"/>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El 18 de julio de 2008 se publicó en el Diario Oficial de la Federación de la República Mexicana la reforma constitucional en materia de justicia penal.</w:t>
            </w:r>
          </w:p>
        </w:tc>
        <w:tc>
          <w:tcPr>
            <w:tcW w:w="0" w:type="auto"/>
          </w:tcPr>
          <w:p w:rsidR="00506B2D" w:rsidRDefault="008C5B26">
            <w:pPr>
              <w:spacing w:line="360" w:lineRule="auto"/>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Se establece reforma al artículo 22 de la carta política, en la cual se crea la figura de la extinción del dominio.</w:t>
            </w:r>
          </w:p>
        </w:tc>
      </w:tr>
      <w:tr w:rsidR="00506B2D">
        <w:tc>
          <w:tcPr>
            <w:tcW w:w="0" w:type="auto"/>
          </w:tcPr>
          <w:p w:rsidR="00506B2D" w:rsidRDefault="008C5B26">
            <w:pPr>
              <w:spacing w:line="360" w:lineRule="auto"/>
              <w:jc w:val="center"/>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México</w:t>
            </w:r>
          </w:p>
        </w:tc>
        <w:tc>
          <w:tcPr>
            <w:tcW w:w="0" w:type="auto"/>
          </w:tcPr>
          <w:p w:rsidR="00506B2D" w:rsidRDefault="008C5B26">
            <w:pPr>
              <w:spacing w:line="360" w:lineRule="auto"/>
              <w:jc w:val="center"/>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2019</w:t>
            </w:r>
          </w:p>
        </w:tc>
        <w:tc>
          <w:tcPr>
            <w:tcW w:w="0" w:type="auto"/>
          </w:tcPr>
          <w:p w:rsidR="00506B2D" w:rsidRDefault="008C5B26">
            <w:pPr>
              <w:spacing w:line="360" w:lineRule="auto"/>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Ley Nacional De Extinción de Dominio.</w:t>
            </w:r>
          </w:p>
        </w:tc>
        <w:tc>
          <w:tcPr>
            <w:tcW w:w="0" w:type="auto"/>
          </w:tcPr>
          <w:p w:rsidR="00506B2D" w:rsidRDefault="008C5B26">
            <w:pPr>
              <w:spacing w:line="360" w:lineRule="auto"/>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La regulación Federal mexicana establece que la distribución de los recursos provenientes</w:t>
            </w:r>
            <w:r>
              <w:rPr>
                <w:rFonts w:ascii="Bookman Old Style" w:eastAsia="Bookman Old Style" w:hAnsi="Bookman Old Style" w:cs="Bookman Old Style"/>
                <w:sz w:val="22"/>
                <w:szCs w:val="22"/>
              </w:rPr>
              <w:t xml:space="preserve"> de la venta, administración, frutos y accesorios de los bienes extintos con sentencia ejecutoriada, se distribuirán de la siguiente manera: </w:t>
            </w:r>
          </w:p>
          <w:p w:rsidR="00506B2D" w:rsidRDefault="00506B2D">
            <w:pPr>
              <w:spacing w:line="360" w:lineRule="auto"/>
              <w:jc w:val="both"/>
              <w:rPr>
                <w:rFonts w:ascii="Bookman Old Style" w:eastAsia="Bookman Old Style" w:hAnsi="Bookman Old Style" w:cs="Bookman Old Style"/>
                <w:sz w:val="22"/>
                <w:szCs w:val="22"/>
              </w:rPr>
            </w:pPr>
          </w:p>
          <w:p w:rsidR="00506B2D" w:rsidRDefault="008C5B26">
            <w:pPr>
              <w:numPr>
                <w:ilvl w:val="0"/>
                <w:numId w:val="1"/>
              </w:numPr>
              <w:pBdr>
                <w:top w:val="nil"/>
                <w:left w:val="nil"/>
                <w:bottom w:val="nil"/>
                <w:right w:val="nil"/>
                <w:between w:val="nil"/>
              </w:pBdr>
              <w:spacing w:line="360" w:lineRule="auto"/>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La reparación del daño causado a las víctimas de los delitos a que se refiere el presente ordenamiento, en términos de la Ley General de Víctimas;</w:t>
            </w:r>
          </w:p>
          <w:p w:rsidR="00506B2D" w:rsidRDefault="008C5B26">
            <w:pPr>
              <w:numPr>
                <w:ilvl w:val="0"/>
                <w:numId w:val="1"/>
              </w:numPr>
              <w:pBdr>
                <w:top w:val="nil"/>
                <w:left w:val="nil"/>
                <w:bottom w:val="nil"/>
                <w:right w:val="nil"/>
                <w:between w:val="nil"/>
              </w:pBdr>
              <w:spacing w:line="360" w:lineRule="auto"/>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En el caso de recursos que hayan pasado a formar parte del patrimonio de la Federación, al pago de las erogaciones derivadas de la ejecución de programas sociales de prevención social del delito, programas para el fortalecimiento de las instituciones de se</w:t>
            </w:r>
            <w:r>
              <w:rPr>
                <w:rFonts w:ascii="Bookman Old Style" w:eastAsia="Bookman Old Style" w:hAnsi="Bookman Old Style" w:cs="Bookman Old Style"/>
                <w:color w:val="000000"/>
                <w:sz w:val="22"/>
                <w:szCs w:val="22"/>
              </w:rPr>
              <w:t>guridad pública y procuración de justicia, conforme a los objetivos establecidos en el Plan Nacional de Desarrollo</w:t>
            </w:r>
            <w:r>
              <w:rPr>
                <w:rFonts w:ascii="Bookman Old Style" w:eastAsia="Bookman Old Style" w:hAnsi="Bookman Old Style" w:cs="Bookman Old Style"/>
                <w:sz w:val="22"/>
                <w:szCs w:val="22"/>
              </w:rPr>
              <w:t>;</w:t>
            </w:r>
            <w:r>
              <w:rPr>
                <w:rFonts w:ascii="Bookman Old Style" w:eastAsia="Bookman Old Style" w:hAnsi="Bookman Old Style" w:cs="Bookman Old Style"/>
                <w:color w:val="000000"/>
                <w:sz w:val="22"/>
                <w:szCs w:val="22"/>
              </w:rPr>
              <w:t xml:space="preserve"> y</w:t>
            </w:r>
          </w:p>
          <w:p w:rsidR="00506B2D" w:rsidRDefault="008C5B26">
            <w:pPr>
              <w:numPr>
                <w:ilvl w:val="0"/>
                <w:numId w:val="1"/>
              </w:numPr>
              <w:pBdr>
                <w:top w:val="nil"/>
                <w:left w:val="nil"/>
                <w:bottom w:val="nil"/>
                <w:right w:val="nil"/>
                <w:between w:val="nil"/>
              </w:pBdr>
              <w:spacing w:line="360" w:lineRule="auto"/>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En el caso de las Entidades Federativas, éstas destinarán dichos recursos para los fines señalados en las fracciones anteriores del presen</w:t>
            </w:r>
            <w:r>
              <w:rPr>
                <w:rFonts w:ascii="Bookman Old Style" w:eastAsia="Bookman Old Style" w:hAnsi="Bookman Old Style" w:cs="Bookman Old Style"/>
                <w:color w:val="000000"/>
                <w:sz w:val="22"/>
                <w:szCs w:val="22"/>
              </w:rPr>
              <w:t>te artículo en los términos que determine su legislación.</w:t>
            </w:r>
          </w:p>
          <w:p w:rsidR="00506B2D" w:rsidRDefault="00506B2D">
            <w:pPr>
              <w:pBdr>
                <w:top w:val="nil"/>
                <w:left w:val="nil"/>
                <w:bottom w:val="nil"/>
                <w:right w:val="nil"/>
                <w:between w:val="nil"/>
              </w:pBdr>
              <w:spacing w:line="360" w:lineRule="auto"/>
              <w:ind w:left="720"/>
              <w:jc w:val="both"/>
              <w:rPr>
                <w:rFonts w:ascii="Bookman Old Style" w:eastAsia="Bookman Old Style" w:hAnsi="Bookman Old Style" w:cs="Bookman Old Style"/>
                <w:color w:val="000000"/>
                <w:sz w:val="22"/>
                <w:szCs w:val="22"/>
              </w:rPr>
            </w:pPr>
          </w:p>
          <w:p w:rsidR="00506B2D" w:rsidRDefault="008C5B26">
            <w:pPr>
              <w:spacing w:line="360" w:lineRule="auto"/>
              <w:jc w:val="both"/>
              <w:rPr>
                <w:rFonts w:ascii="Bookman Old Style" w:eastAsia="Bookman Old Style" w:hAnsi="Bookman Old Style" w:cs="Bookman Old Style"/>
                <w:i/>
                <w:sz w:val="22"/>
                <w:szCs w:val="22"/>
              </w:rPr>
            </w:pPr>
            <w:r>
              <w:rPr>
                <w:rFonts w:ascii="Bookman Old Style" w:eastAsia="Bookman Old Style" w:hAnsi="Bookman Old Style" w:cs="Bookman Old Style"/>
                <w:sz w:val="22"/>
                <w:szCs w:val="22"/>
              </w:rPr>
              <w:t>Adicionalmente, establece en el artículo 239. “</w:t>
            </w:r>
            <w:r>
              <w:rPr>
                <w:rFonts w:ascii="Bookman Old Style" w:eastAsia="Bookman Old Style" w:hAnsi="Bookman Old Style" w:cs="Bookman Old Style"/>
                <w:i/>
                <w:sz w:val="22"/>
                <w:szCs w:val="22"/>
              </w:rPr>
              <w:t>Los remanentes del valor de los Bienes, así como los productos, rendimientos, frutos y accesorios que se hayan generado, que le corresponden al Gobier</w:t>
            </w:r>
            <w:r>
              <w:rPr>
                <w:rFonts w:ascii="Bookman Old Style" w:eastAsia="Bookman Old Style" w:hAnsi="Bookman Old Style" w:cs="Bookman Old Style"/>
                <w:i/>
                <w:sz w:val="22"/>
                <w:szCs w:val="22"/>
              </w:rPr>
              <w:t>no Federal, conforme a la presente Ley, se depositarán por la Autoridad Administradora en una Cuenta Especial, administrada por esta, hasta en tanto se determine su destino final por el Gabinete Social de la Presidencia de la República.</w:t>
            </w:r>
            <w:r>
              <w:rPr>
                <w:rFonts w:ascii="Bookman Old Style" w:eastAsia="Bookman Old Style" w:hAnsi="Bookman Old Style" w:cs="Bookman Old Style"/>
                <w:b/>
                <w:i/>
                <w:sz w:val="22"/>
                <w:szCs w:val="22"/>
              </w:rPr>
              <w:t xml:space="preserve"> </w:t>
            </w:r>
            <w:r>
              <w:rPr>
                <w:rFonts w:ascii="Bookman Old Style" w:eastAsia="Bookman Old Style" w:hAnsi="Bookman Old Style" w:cs="Bookman Old Style"/>
                <w:b/>
                <w:i/>
                <w:sz w:val="22"/>
                <w:szCs w:val="22"/>
                <w:u w:val="single"/>
              </w:rPr>
              <w:t>En el ámbito local,</w:t>
            </w:r>
            <w:r>
              <w:rPr>
                <w:rFonts w:ascii="Bookman Old Style" w:eastAsia="Bookman Old Style" w:hAnsi="Bookman Old Style" w:cs="Bookman Old Style"/>
                <w:b/>
                <w:i/>
                <w:sz w:val="22"/>
                <w:szCs w:val="22"/>
                <w:u w:val="single"/>
              </w:rPr>
              <w:t xml:space="preserve"> la Cuenta Especial será regulada conforme lo determinen las disposiciones estatales aplicables</w:t>
            </w:r>
            <w:r>
              <w:rPr>
                <w:rFonts w:ascii="Bookman Old Style" w:eastAsia="Bookman Old Style" w:hAnsi="Bookman Old Style" w:cs="Bookman Old Style"/>
                <w:b/>
                <w:i/>
                <w:sz w:val="22"/>
                <w:szCs w:val="22"/>
              </w:rPr>
              <w:t>.</w:t>
            </w:r>
          </w:p>
          <w:p w:rsidR="00506B2D" w:rsidRDefault="008C5B26">
            <w:pPr>
              <w:spacing w:line="360" w:lineRule="auto"/>
              <w:jc w:val="both"/>
              <w:rPr>
                <w:rFonts w:ascii="Bookman Old Style" w:eastAsia="Bookman Old Style" w:hAnsi="Bookman Old Style" w:cs="Bookman Old Style"/>
                <w:i/>
                <w:sz w:val="22"/>
                <w:szCs w:val="22"/>
              </w:rPr>
            </w:pPr>
            <w:r>
              <w:rPr>
                <w:rFonts w:ascii="Bookman Old Style" w:eastAsia="Bookman Old Style" w:hAnsi="Bookman Old Style" w:cs="Bookman Old Style"/>
                <w:i/>
                <w:sz w:val="22"/>
                <w:szCs w:val="22"/>
              </w:rPr>
              <w:t>En ningún caso los recursos a que se refiere este artículo podrán ser utilizados en gasto corriente o pago de salarios.”</w:t>
            </w:r>
          </w:p>
          <w:p w:rsidR="00506B2D" w:rsidRDefault="00506B2D">
            <w:pPr>
              <w:spacing w:line="360" w:lineRule="auto"/>
              <w:ind w:left="360"/>
              <w:jc w:val="both"/>
              <w:rPr>
                <w:rFonts w:ascii="Bookman Old Style" w:eastAsia="Bookman Old Style" w:hAnsi="Bookman Old Style" w:cs="Bookman Old Style"/>
                <w:sz w:val="22"/>
                <w:szCs w:val="22"/>
              </w:rPr>
            </w:pPr>
          </w:p>
        </w:tc>
      </w:tr>
      <w:tr w:rsidR="00506B2D">
        <w:tc>
          <w:tcPr>
            <w:tcW w:w="0" w:type="auto"/>
          </w:tcPr>
          <w:p w:rsidR="00506B2D" w:rsidRDefault="008C5B26">
            <w:pPr>
              <w:spacing w:line="360" w:lineRule="auto"/>
              <w:jc w:val="center"/>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Perú</w:t>
            </w:r>
          </w:p>
        </w:tc>
        <w:tc>
          <w:tcPr>
            <w:tcW w:w="0" w:type="auto"/>
          </w:tcPr>
          <w:p w:rsidR="00506B2D" w:rsidRDefault="008C5B26">
            <w:pPr>
              <w:spacing w:line="360" w:lineRule="auto"/>
              <w:jc w:val="center"/>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2019</w:t>
            </w:r>
          </w:p>
        </w:tc>
        <w:tc>
          <w:tcPr>
            <w:tcW w:w="0" w:type="auto"/>
          </w:tcPr>
          <w:p w:rsidR="00506B2D" w:rsidRDefault="008C5B26">
            <w:pPr>
              <w:spacing w:line="360" w:lineRule="auto"/>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Decreto Legislativo No 1373 del 2019</w:t>
            </w:r>
          </w:p>
        </w:tc>
        <w:tc>
          <w:tcPr>
            <w:tcW w:w="0" w:type="auto"/>
          </w:tcPr>
          <w:p w:rsidR="00506B2D" w:rsidRDefault="008C5B26">
            <w:pPr>
              <w:spacing w:line="360" w:lineRule="auto"/>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Para el contexto nacional, en términos del mismo decreto, fue necesario realizar una reforma normativa de los mecanismos e instrumentos que permiten al Estado una firme lucha contra la delincuencia organizada y cualquie</w:t>
            </w:r>
            <w:r>
              <w:rPr>
                <w:rFonts w:ascii="Bookman Old Style" w:eastAsia="Bookman Old Style" w:hAnsi="Bookman Old Style" w:cs="Bookman Old Style"/>
                <w:sz w:val="22"/>
                <w:szCs w:val="22"/>
              </w:rPr>
              <w:t>r acto ilícito, por lo que se requiere estatuir un ordenamiento eficaz de extinción de dominio de los objetos, instrumentos, efectos y ganancias. La legislación que existía en el Perú adolecía de las herramientas de coerción necesarias para enfrentar el cr</w:t>
            </w:r>
            <w:r>
              <w:rPr>
                <w:rFonts w:ascii="Bookman Old Style" w:eastAsia="Bookman Old Style" w:hAnsi="Bookman Old Style" w:cs="Bookman Old Style"/>
                <w:sz w:val="22"/>
                <w:szCs w:val="22"/>
              </w:rPr>
              <w:t>imen organizado y el lavado de dineros producto del narcotráfico.</w:t>
            </w:r>
          </w:p>
        </w:tc>
      </w:tr>
      <w:tr w:rsidR="00506B2D">
        <w:tc>
          <w:tcPr>
            <w:tcW w:w="0" w:type="auto"/>
          </w:tcPr>
          <w:p w:rsidR="00506B2D" w:rsidRDefault="008C5B26">
            <w:pPr>
              <w:spacing w:line="360" w:lineRule="auto"/>
              <w:jc w:val="center"/>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Perú</w:t>
            </w:r>
          </w:p>
        </w:tc>
        <w:tc>
          <w:tcPr>
            <w:tcW w:w="0" w:type="auto"/>
          </w:tcPr>
          <w:p w:rsidR="00506B2D" w:rsidRDefault="008C5B26">
            <w:pPr>
              <w:spacing w:line="360" w:lineRule="auto"/>
              <w:jc w:val="center"/>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2019</w:t>
            </w:r>
          </w:p>
        </w:tc>
        <w:tc>
          <w:tcPr>
            <w:tcW w:w="0" w:type="auto"/>
          </w:tcPr>
          <w:p w:rsidR="00506B2D" w:rsidRDefault="008C5B26">
            <w:pPr>
              <w:spacing w:line="360" w:lineRule="auto"/>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El Decreto Legislativo No 1126 de 2019</w:t>
            </w:r>
          </w:p>
        </w:tc>
        <w:tc>
          <w:tcPr>
            <w:tcW w:w="0" w:type="auto"/>
          </w:tcPr>
          <w:p w:rsidR="00506B2D" w:rsidRDefault="008C5B26">
            <w:pPr>
              <w:spacing w:line="360" w:lineRule="auto"/>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Establece la distribución de los recursos de las ventas que efectúe la SUNAT de los bienes fiscalizados, deducidos los gastos administrativos, constituyen recursos del Tesoro Público y se distribuirán entre las entidades que estén preferentemente vinculada</w:t>
            </w:r>
            <w:r>
              <w:rPr>
                <w:rFonts w:ascii="Bookman Old Style" w:eastAsia="Bookman Old Style" w:hAnsi="Bookman Old Style" w:cs="Bookman Old Style"/>
                <w:sz w:val="22"/>
                <w:szCs w:val="22"/>
              </w:rPr>
              <w:t xml:space="preserve">s con la lucha contra la minería ilegal, la corrupción o el crimen organizado. </w:t>
            </w:r>
          </w:p>
        </w:tc>
      </w:tr>
      <w:tr w:rsidR="00506B2D">
        <w:tc>
          <w:tcPr>
            <w:tcW w:w="0" w:type="auto"/>
          </w:tcPr>
          <w:p w:rsidR="00506B2D" w:rsidRDefault="008C5B26">
            <w:pPr>
              <w:spacing w:line="360" w:lineRule="auto"/>
              <w:jc w:val="center"/>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Argentina</w:t>
            </w:r>
          </w:p>
        </w:tc>
        <w:tc>
          <w:tcPr>
            <w:tcW w:w="0" w:type="auto"/>
          </w:tcPr>
          <w:p w:rsidR="00506B2D" w:rsidRDefault="008C5B26">
            <w:pPr>
              <w:spacing w:line="360" w:lineRule="auto"/>
              <w:jc w:val="center"/>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2019</w:t>
            </w:r>
          </w:p>
        </w:tc>
        <w:tc>
          <w:tcPr>
            <w:tcW w:w="0" w:type="auto"/>
          </w:tcPr>
          <w:p w:rsidR="00506B2D" w:rsidRDefault="008C5B26">
            <w:pPr>
              <w:spacing w:line="360" w:lineRule="auto"/>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Decreto de Necesidad y Urgencia No. 62.</w:t>
            </w:r>
          </w:p>
        </w:tc>
        <w:tc>
          <w:tcPr>
            <w:tcW w:w="0" w:type="auto"/>
          </w:tcPr>
          <w:p w:rsidR="00506B2D" w:rsidRDefault="008C5B26">
            <w:pPr>
              <w:spacing w:line="360" w:lineRule="auto"/>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El gobierno argentino expidió el Régimen Procesal de la Acción Civil de Extinción de Dominio, mediante el cual modifican</w:t>
            </w:r>
            <w:r>
              <w:rPr>
                <w:rFonts w:ascii="Bookman Old Style" w:eastAsia="Bookman Old Style" w:hAnsi="Bookman Old Style" w:cs="Bookman Old Style"/>
                <w:sz w:val="22"/>
                <w:szCs w:val="22"/>
              </w:rPr>
              <w:t xml:space="preserve"> el Código Civil y Comercial de la Nación, toda vez que asocian la acción de extinción con la legislación civil por tratase de derechos reales.</w:t>
            </w:r>
          </w:p>
          <w:p w:rsidR="00506B2D" w:rsidRDefault="008C5B26">
            <w:pPr>
              <w:spacing w:line="360" w:lineRule="auto"/>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Por medio del anexo I. del DNU, que forma parte íntegra del mismo, se establece el régimen procesal de la acción</w:t>
            </w:r>
            <w:r>
              <w:rPr>
                <w:rFonts w:ascii="Bookman Old Style" w:eastAsia="Bookman Old Style" w:hAnsi="Bookman Old Style" w:cs="Bookman Old Style"/>
                <w:sz w:val="22"/>
                <w:szCs w:val="22"/>
              </w:rPr>
              <w:t>, y en lo concerniente establece:</w:t>
            </w:r>
          </w:p>
          <w:p w:rsidR="00506B2D" w:rsidRDefault="008C5B26">
            <w:pPr>
              <w:spacing w:line="360" w:lineRule="auto"/>
              <w:jc w:val="both"/>
              <w:rPr>
                <w:rFonts w:ascii="Bookman Old Style" w:eastAsia="Bookman Old Style" w:hAnsi="Bookman Old Style" w:cs="Bookman Old Style"/>
                <w:i/>
                <w:sz w:val="22"/>
                <w:szCs w:val="22"/>
              </w:rPr>
            </w:pPr>
            <w:r>
              <w:rPr>
                <w:rFonts w:ascii="Bookman Old Style" w:eastAsia="Bookman Old Style" w:hAnsi="Bookman Old Style" w:cs="Bookman Old Style"/>
                <w:i/>
                <w:sz w:val="22"/>
                <w:szCs w:val="22"/>
              </w:rPr>
              <w:t>“ARTÍCULO 13.- Destino de los bienes sometidos a la acción de extinción de dominio. Durante la tramitación del proceso de extinción de dominio, la administración y el mantenimiento de los bienes muebles e inmuebles sometid</w:t>
            </w:r>
            <w:r>
              <w:rPr>
                <w:rFonts w:ascii="Bookman Old Style" w:eastAsia="Bookman Old Style" w:hAnsi="Bookman Old Style" w:cs="Bookman Old Style"/>
                <w:i/>
                <w:sz w:val="22"/>
                <w:szCs w:val="22"/>
              </w:rPr>
              <w:t>os a medidas cautelares de desapoderamiento estará a cargo de la AGENCIA DE ADMINISTRACIÓN DE BIENES DEL ESTADO, organismo descentralizado en el ámbito de la JEFATURA DE GABINETE DE MINISTROS. En las mismas circunstancias, el dinero en efectivo o depositad</w:t>
            </w:r>
            <w:r>
              <w:rPr>
                <w:rFonts w:ascii="Bookman Old Style" w:eastAsia="Bookman Old Style" w:hAnsi="Bookman Old Style" w:cs="Bookman Old Style"/>
                <w:i/>
                <w:sz w:val="22"/>
                <w:szCs w:val="22"/>
              </w:rPr>
              <w:t>o en cuentas bancarias a la vista será transferido a una cuenta especial que devengue intereses a fin de mitigar su depreciación, y los instrumentos financieros con cotización en mercados regulados nacionales o internacionales serán administrados por el Fo</w:t>
            </w:r>
            <w:r>
              <w:rPr>
                <w:rFonts w:ascii="Bookman Old Style" w:eastAsia="Bookman Old Style" w:hAnsi="Bookman Old Style" w:cs="Bookman Old Style"/>
                <w:i/>
                <w:sz w:val="22"/>
                <w:szCs w:val="22"/>
              </w:rPr>
              <w:t>ndo de Garantía de Sustentabilidad que funciona en la ADMINISTRACIÓN NACIONAL DE LA SEGURIDAD SOCIAL, organismo descentralizado actuante en el ámbito del MINISTERIO DE SALUD Y DESARROLLO SOCIAL.</w:t>
            </w:r>
          </w:p>
          <w:p w:rsidR="00506B2D" w:rsidRDefault="008C5B26">
            <w:pPr>
              <w:spacing w:line="360" w:lineRule="auto"/>
              <w:jc w:val="both"/>
              <w:rPr>
                <w:rFonts w:ascii="Bookman Old Style" w:eastAsia="Bookman Old Style" w:hAnsi="Bookman Old Style" w:cs="Bookman Old Style"/>
                <w:i/>
                <w:sz w:val="22"/>
                <w:szCs w:val="22"/>
              </w:rPr>
            </w:pPr>
            <w:r>
              <w:rPr>
                <w:rFonts w:ascii="Bookman Old Style" w:eastAsia="Bookman Old Style" w:hAnsi="Bookman Old Style" w:cs="Bookman Old Style"/>
                <w:i/>
                <w:sz w:val="22"/>
                <w:szCs w:val="22"/>
              </w:rPr>
              <w:t>La sentencia que haga lugar a la acción de extinción de domin</w:t>
            </w:r>
            <w:r>
              <w:rPr>
                <w:rFonts w:ascii="Bookman Old Style" w:eastAsia="Bookman Old Style" w:hAnsi="Bookman Old Style" w:cs="Bookman Old Style"/>
                <w:i/>
                <w:sz w:val="22"/>
                <w:szCs w:val="22"/>
              </w:rPr>
              <w:t xml:space="preserve">io deberá ordenar la subasta de los bienes y, una vez deducidos los gastos incurridos para su localización y secuestro, administración y mantenimiento y demás costos procesales, </w:t>
            </w:r>
            <w:r>
              <w:rPr>
                <w:rFonts w:ascii="Bookman Old Style" w:eastAsia="Bookman Old Style" w:hAnsi="Bookman Old Style" w:cs="Bookman Old Style"/>
                <w:b/>
                <w:i/>
                <w:sz w:val="22"/>
                <w:szCs w:val="22"/>
                <w:u w:val="single"/>
              </w:rPr>
              <w:t>su producido ingresará a rentas generales de la Nación</w:t>
            </w:r>
            <w:r>
              <w:rPr>
                <w:rFonts w:ascii="Bookman Old Style" w:eastAsia="Bookman Old Style" w:hAnsi="Bookman Old Style" w:cs="Bookman Old Style"/>
                <w:i/>
                <w:sz w:val="22"/>
                <w:szCs w:val="22"/>
              </w:rPr>
              <w:t xml:space="preserve"> salvo cuando exista una</w:t>
            </w:r>
            <w:r>
              <w:rPr>
                <w:rFonts w:ascii="Bookman Old Style" w:eastAsia="Bookman Old Style" w:hAnsi="Bookman Old Style" w:cs="Bookman Old Style"/>
                <w:i/>
                <w:sz w:val="22"/>
                <w:szCs w:val="22"/>
              </w:rPr>
              <w:t xml:space="preserve"> asignación específica establecida en las leyes mencionadas en el artículo 6° del presente.”</w:t>
            </w:r>
          </w:p>
        </w:tc>
      </w:tr>
    </w:tbl>
    <w:p w:rsidR="00506B2D" w:rsidRDefault="008C5B26">
      <w:pPr>
        <w:spacing w:line="360" w:lineRule="auto"/>
        <w:jc w:val="center"/>
        <w:rPr>
          <w:rFonts w:ascii="Bookman Old Style" w:eastAsia="Bookman Old Style" w:hAnsi="Bookman Old Style" w:cs="Bookman Old Style"/>
          <w:b/>
          <w:sz w:val="22"/>
          <w:szCs w:val="22"/>
          <w:vertAlign w:val="superscript"/>
        </w:rPr>
      </w:pPr>
      <w:r>
        <w:rPr>
          <w:rFonts w:ascii="Bookman Old Style" w:eastAsia="Bookman Old Style" w:hAnsi="Bookman Old Style" w:cs="Bookman Old Style"/>
          <w:b/>
          <w:sz w:val="22"/>
          <w:szCs w:val="22"/>
          <w:vertAlign w:val="superscript"/>
        </w:rPr>
        <w:t>Tabla 1. Derecho comparado.</w:t>
      </w:r>
    </w:p>
    <w:p w:rsidR="00506B2D" w:rsidRDefault="008C5B26">
      <w:pPr>
        <w:spacing w:line="360" w:lineRule="auto"/>
        <w:jc w:val="center"/>
        <w:rPr>
          <w:rFonts w:ascii="Bookman Old Style" w:eastAsia="Bookman Old Style" w:hAnsi="Bookman Old Style" w:cs="Bookman Old Style"/>
          <w:b/>
          <w:sz w:val="22"/>
          <w:szCs w:val="22"/>
          <w:vertAlign w:val="superscript"/>
        </w:rPr>
      </w:pPr>
      <w:r>
        <w:rPr>
          <w:rFonts w:ascii="Bookman Old Style" w:eastAsia="Bookman Old Style" w:hAnsi="Bookman Old Style" w:cs="Bookman Old Style"/>
          <w:b/>
          <w:sz w:val="22"/>
          <w:szCs w:val="22"/>
          <w:vertAlign w:val="superscript"/>
        </w:rPr>
        <w:t>Fuente: elaboración UTL Reyes Kuri, con base en Müller Creel, Oscar, (2011) y la normatividad vigente de cada país.</w:t>
      </w:r>
    </w:p>
    <w:p w:rsidR="00506B2D" w:rsidRDefault="00506B2D">
      <w:pPr>
        <w:spacing w:line="360" w:lineRule="auto"/>
        <w:jc w:val="both"/>
        <w:rPr>
          <w:rFonts w:ascii="Bookman Old Style" w:eastAsia="Bookman Old Style" w:hAnsi="Bookman Old Style" w:cs="Bookman Old Style"/>
          <w:sz w:val="22"/>
          <w:szCs w:val="22"/>
        </w:rPr>
      </w:pPr>
    </w:p>
    <w:p w:rsidR="00506B2D" w:rsidRDefault="008C5B26">
      <w:pPr>
        <w:spacing w:after="120" w:line="360" w:lineRule="auto"/>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Como se evidencia, con realidades sociales diferentes, Perú, Argentina y México, empezaron a desarrollar el marco normativo alrededor de la extinción de dominio en los últimos años. Por su parte, la legislación mexicana dispone una asignación sobre estos b</w:t>
      </w:r>
      <w:r>
        <w:rPr>
          <w:rFonts w:ascii="Bookman Old Style" w:eastAsia="Bookman Old Style" w:hAnsi="Bookman Old Style" w:cs="Bookman Old Style"/>
          <w:sz w:val="22"/>
          <w:szCs w:val="22"/>
        </w:rPr>
        <w:t>ienes al Gobierno Federal, en términos muy similares a lo dispuesto en la ley colombiana. Sin embargo, con respecto a los remanentes del valor de los bienes, los productos, rendimientos, frutos y accesorios, les otorga la facultad a las entidades del “ámbi</w:t>
      </w:r>
      <w:r>
        <w:rPr>
          <w:rFonts w:ascii="Bookman Old Style" w:eastAsia="Bookman Old Style" w:hAnsi="Bookman Old Style" w:cs="Bookman Old Style"/>
          <w:sz w:val="22"/>
          <w:szCs w:val="22"/>
        </w:rPr>
        <w:t>to local” para disponer libremente de estos recursos a través de la normatividad estatal aplicable. Una medida que en consideración a la estructura federal les genera desarrollo a los territorios y resarce en parte las consecuencias del narcotráfico y la c</w:t>
      </w:r>
      <w:r>
        <w:rPr>
          <w:rFonts w:ascii="Bookman Old Style" w:eastAsia="Bookman Old Style" w:hAnsi="Bookman Old Style" w:cs="Bookman Old Style"/>
          <w:sz w:val="22"/>
          <w:szCs w:val="22"/>
        </w:rPr>
        <w:t xml:space="preserve">orrupción. </w:t>
      </w:r>
    </w:p>
    <w:p w:rsidR="00506B2D" w:rsidRDefault="008C5B26">
      <w:pPr>
        <w:spacing w:after="120" w:line="360" w:lineRule="auto"/>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Para el caso peruano, por su misma novedad no ha desarrollado la institución de la extinción de dominio al nivel en que lo hace la normatividad colombiana, y establece de manera genérica la distribución de los recursos producto de la enajenació</w:t>
      </w:r>
      <w:r>
        <w:rPr>
          <w:rFonts w:ascii="Bookman Old Style" w:eastAsia="Bookman Old Style" w:hAnsi="Bookman Old Style" w:cs="Bookman Old Style"/>
          <w:sz w:val="22"/>
          <w:szCs w:val="22"/>
        </w:rPr>
        <w:t>n de los bienes sujetos extinguidos. Los recursos son transferidos al nivel central y a las entidades vinculadas a la lucha del crimen organizado, estructura de distribución planteada por Colombia tiempo atrás, por lo cual se evidencia que es líder de la r</w:t>
      </w:r>
      <w:r>
        <w:rPr>
          <w:rFonts w:ascii="Bookman Old Style" w:eastAsia="Bookman Old Style" w:hAnsi="Bookman Old Style" w:cs="Bookman Old Style"/>
          <w:sz w:val="22"/>
          <w:szCs w:val="22"/>
        </w:rPr>
        <w:t xml:space="preserve">egión en la materia. </w:t>
      </w:r>
    </w:p>
    <w:p w:rsidR="00506B2D" w:rsidRDefault="008C5B26">
      <w:pPr>
        <w:spacing w:after="120" w:line="360" w:lineRule="auto"/>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Argentina en términos disímiles, dispuso la creación de la acción civil de extinción de dominio, enfoque diferenciado al carácter constitucional de la acción colombiana cuya creación se basa en el interés general y la moralidad públic</w:t>
      </w:r>
      <w:r>
        <w:rPr>
          <w:rFonts w:ascii="Bookman Old Style" w:eastAsia="Bookman Old Style" w:hAnsi="Bookman Old Style" w:cs="Bookman Old Style"/>
          <w:sz w:val="22"/>
          <w:szCs w:val="22"/>
        </w:rPr>
        <w:t>a. En estos momentos se continúa debatiendo la constitucionalidad del decreto, por cuanto el texto superior argentino no contempla tal limitación al derecho de propiedad.</w:t>
      </w:r>
    </w:p>
    <w:p w:rsidR="00506B2D" w:rsidRDefault="008C5B26">
      <w:pPr>
        <w:spacing w:line="360" w:lineRule="auto"/>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Lo anterior parece confirmar que, efectivamente la legislación colombiana fue la prim</w:t>
      </w:r>
      <w:r>
        <w:rPr>
          <w:rFonts w:ascii="Bookman Old Style" w:eastAsia="Bookman Old Style" w:hAnsi="Bookman Old Style" w:cs="Bookman Old Style"/>
          <w:sz w:val="22"/>
          <w:szCs w:val="22"/>
        </w:rPr>
        <w:t>era en desarrollar la figura de extinción de dominio e incluso la ubicó en rango constitucional, apartada del área penal y civil (Perú, Argentina), y por su mismo desarrollo ha presentado debates que hasta el momento ningún otro país ha tenido. En ese sent</w:t>
      </w:r>
      <w:r>
        <w:rPr>
          <w:rFonts w:ascii="Bookman Old Style" w:eastAsia="Bookman Old Style" w:hAnsi="Bookman Old Style" w:cs="Bookman Old Style"/>
          <w:sz w:val="22"/>
          <w:szCs w:val="22"/>
        </w:rPr>
        <w:t xml:space="preserve">ido, Colombia con la diferencia de organización del Estado respecto a México quienes privilegian el desarrollo territorial, puede desarrollar alternativas por medio del presente proyecto de ley, para distribuir los recursos de tal forma que los municipios </w:t>
      </w:r>
      <w:r>
        <w:rPr>
          <w:rFonts w:ascii="Bookman Old Style" w:eastAsia="Bookman Old Style" w:hAnsi="Bookman Old Style" w:cs="Bookman Old Style"/>
          <w:sz w:val="22"/>
          <w:szCs w:val="22"/>
        </w:rPr>
        <w:t xml:space="preserve">y distritos que han sufrido el conflicto originado por el narcotráfico pueda resarcir y prevenir los daños que produce el crimen organizado, basadas en el principio de descentralización. </w:t>
      </w:r>
    </w:p>
    <w:p w:rsidR="00506B2D" w:rsidRDefault="00506B2D">
      <w:pPr>
        <w:spacing w:line="360" w:lineRule="auto"/>
        <w:jc w:val="both"/>
        <w:rPr>
          <w:rFonts w:ascii="Bookman Old Style" w:eastAsia="Bookman Old Style" w:hAnsi="Bookman Old Style" w:cs="Bookman Old Style"/>
          <w:sz w:val="22"/>
          <w:szCs w:val="22"/>
        </w:rPr>
      </w:pPr>
    </w:p>
    <w:p w:rsidR="00506B2D" w:rsidRDefault="008C5B26">
      <w:pPr>
        <w:numPr>
          <w:ilvl w:val="0"/>
          <w:numId w:val="3"/>
        </w:numPr>
        <w:pBdr>
          <w:top w:val="nil"/>
          <w:left w:val="nil"/>
          <w:bottom w:val="nil"/>
          <w:right w:val="nil"/>
          <w:between w:val="nil"/>
        </w:pBdr>
        <w:spacing w:after="160" w:line="360" w:lineRule="auto"/>
        <w:ind w:left="0" w:firstLine="0"/>
        <w:rPr>
          <w:rFonts w:ascii="Bookman Old Style" w:eastAsia="Bookman Old Style" w:hAnsi="Bookman Old Style" w:cs="Bookman Old Style"/>
          <w:color w:val="000000"/>
          <w:sz w:val="22"/>
          <w:szCs w:val="22"/>
        </w:rPr>
      </w:pPr>
      <w:r>
        <w:rPr>
          <w:rFonts w:ascii="Bookman Old Style" w:eastAsia="Bookman Old Style" w:hAnsi="Bookman Old Style" w:cs="Bookman Old Style"/>
          <w:b/>
          <w:color w:val="000000"/>
          <w:sz w:val="22"/>
          <w:szCs w:val="22"/>
        </w:rPr>
        <w:t>PLIEGO DE MODIFICACIONES.</w:t>
      </w:r>
    </w:p>
    <w:p w:rsidR="00506B2D" w:rsidRDefault="008C5B26">
      <w:pPr>
        <w:pBdr>
          <w:top w:val="nil"/>
          <w:left w:val="nil"/>
          <w:bottom w:val="nil"/>
          <w:right w:val="nil"/>
          <w:between w:val="nil"/>
        </w:pBdr>
        <w:spacing w:after="160" w:line="360" w:lineRule="auto"/>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Se introdujeron las siguientes modificaciones al proyecto de ley: </w:t>
      </w:r>
    </w:p>
    <w:tbl>
      <w:tblPr>
        <w:tblStyle w:val="a3"/>
        <w:tblW w:w="8828" w:type="dxa"/>
        <w:tblInd w:w="0" w:type="dxa"/>
        <w:tblLayout w:type="fixed"/>
        <w:tblLook w:val="0400" w:firstRow="0" w:lastRow="0" w:firstColumn="0" w:lastColumn="0" w:noHBand="0" w:noVBand="1"/>
      </w:tblPr>
      <w:tblGrid>
        <w:gridCol w:w="3148"/>
        <w:gridCol w:w="3147"/>
        <w:gridCol w:w="2533"/>
      </w:tblGrid>
      <w:tr w:rsidR="00506B2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06B2D" w:rsidRDefault="008C5B26">
            <w:pPr>
              <w:spacing w:after="160"/>
              <w:jc w:val="both"/>
              <w:rPr>
                <w:rFonts w:ascii="Bookman Old Style" w:eastAsia="Bookman Old Style" w:hAnsi="Bookman Old Style" w:cs="Bookman Old Style"/>
                <w:sz w:val="22"/>
                <w:szCs w:val="22"/>
              </w:rPr>
            </w:pPr>
            <w:r>
              <w:rPr>
                <w:rFonts w:ascii="Bookman Old Style" w:eastAsia="Bookman Old Style" w:hAnsi="Bookman Old Style" w:cs="Bookman Old Style"/>
                <w:b/>
                <w:color w:val="000000"/>
                <w:sz w:val="22"/>
                <w:szCs w:val="22"/>
              </w:rPr>
              <w:t>TEXTO APROBADO PRIMER DEBATE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06B2D" w:rsidRDefault="008C5B26">
            <w:pPr>
              <w:spacing w:after="160"/>
              <w:jc w:val="center"/>
              <w:rPr>
                <w:rFonts w:ascii="Bookman Old Style" w:eastAsia="Bookman Old Style" w:hAnsi="Bookman Old Style" w:cs="Bookman Old Style"/>
                <w:sz w:val="22"/>
                <w:szCs w:val="22"/>
              </w:rPr>
            </w:pPr>
            <w:r>
              <w:rPr>
                <w:rFonts w:ascii="Bookman Old Style" w:eastAsia="Bookman Old Style" w:hAnsi="Bookman Old Style" w:cs="Bookman Old Style"/>
                <w:b/>
                <w:color w:val="000000"/>
                <w:sz w:val="22"/>
                <w:szCs w:val="22"/>
              </w:rPr>
              <w:t>TEXTO PROPUESTO SEGUNDO DEBATE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06B2D" w:rsidRDefault="008C5B26">
            <w:pPr>
              <w:spacing w:after="160"/>
              <w:jc w:val="center"/>
              <w:rPr>
                <w:rFonts w:ascii="Bookman Old Style" w:eastAsia="Bookman Old Style" w:hAnsi="Bookman Old Style" w:cs="Bookman Old Style"/>
                <w:sz w:val="22"/>
                <w:szCs w:val="22"/>
              </w:rPr>
            </w:pPr>
            <w:r>
              <w:rPr>
                <w:rFonts w:ascii="Bookman Old Style" w:eastAsia="Bookman Old Style" w:hAnsi="Bookman Old Style" w:cs="Bookman Old Style"/>
                <w:b/>
                <w:color w:val="000000"/>
                <w:sz w:val="22"/>
                <w:szCs w:val="22"/>
              </w:rPr>
              <w:t>JUSTIFICACIÓN</w:t>
            </w:r>
          </w:p>
        </w:tc>
      </w:tr>
      <w:tr w:rsidR="00506B2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06B2D" w:rsidRDefault="008C5B26">
            <w:pPr>
              <w:jc w:val="center"/>
              <w:rPr>
                <w:rFonts w:ascii="Bookman Old Style" w:eastAsia="Bookman Old Style" w:hAnsi="Bookman Old Style" w:cs="Bookman Old Style"/>
                <w:sz w:val="22"/>
                <w:szCs w:val="22"/>
              </w:rPr>
            </w:pPr>
            <w:r>
              <w:rPr>
                <w:rFonts w:ascii="Bookman Old Style" w:eastAsia="Bookman Old Style" w:hAnsi="Bookman Old Style" w:cs="Bookman Old Style"/>
                <w:b/>
                <w:color w:val="000000"/>
                <w:sz w:val="22"/>
                <w:szCs w:val="22"/>
              </w:rPr>
              <w:t>PROYECTO DE LEY No 039 DE 2020</w:t>
            </w:r>
          </w:p>
          <w:p w:rsidR="00506B2D" w:rsidRDefault="008C5B26">
            <w:pPr>
              <w:jc w:val="both"/>
              <w:rPr>
                <w:rFonts w:ascii="Bookman Old Style" w:eastAsia="Bookman Old Style" w:hAnsi="Bookman Old Style" w:cs="Bookman Old Style"/>
                <w:sz w:val="22"/>
                <w:szCs w:val="22"/>
              </w:rPr>
            </w:pPr>
            <w:r>
              <w:rPr>
                <w:rFonts w:ascii="Bookman Old Style" w:eastAsia="Bookman Old Style" w:hAnsi="Bookman Old Style" w:cs="Bookman Old Style"/>
                <w:color w:val="000000"/>
                <w:sz w:val="22"/>
                <w:szCs w:val="22"/>
              </w:rPr>
              <w:t xml:space="preserve">“Por medio </w:t>
            </w:r>
            <w:r>
              <w:rPr>
                <w:rFonts w:ascii="Bookman Old Style" w:eastAsia="Bookman Old Style" w:hAnsi="Bookman Old Style" w:cs="Bookman Old Style"/>
                <w:strike/>
                <w:color w:val="000000"/>
                <w:sz w:val="22"/>
                <w:szCs w:val="22"/>
              </w:rPr>
              <w:t>del</w:t>
            </w:r>
            <w:r>
              <w:rPr>
                <w:rFonts w:ascii="Bookman Old Style" w:eastAsia="Bookman Old Style" w:hAnsi="Bookman Old Style" w:cs="Bookman Old Style"/>
                <w:color w:val="000000"/>
                <w:sz w:val="22"/>
                <w:szCs w:val="22"/>
              </w:rPr>
              <w:t xml:space="preserve"> cual se adiciona un parágrafo al artículo 91 de la Ley 1708 de 2014 </w:t>
            </w:r>
            <w:r>
              <w:rPr>
                <w:rFonts w:ascii="Bookman Old Style" w:eastAsia="Bookman Old Style" w:hAnsi="Bookman Old Style" w:cs="Bookman Old Style"/>
                <w:color w:val="000000"/>
                <w:sz w:val="22"/>
                <w:szCs w:val="22"/>
              </w:rPr>
              <w:t xml:space="preserve">y se regula la transferencia a título gratuito de los bienes con extinción de dominio </w:t>
            </w:r>
            <w:r>
              <w:rPr>
                <w:rFonts w:ascii="Bookman Old Style" w:eastAsia="Bookman Old Style" w:hAnsi="Bookman Old Style" w:cs="Bookman Old Style"/>
                <w:strike/>
                <w:color w:val="000000"/>
                <w:sz w:val="22"/>
                <w:szCs w:val="22"/>
              </w:rPr>
              <w:t>ubicados en el Distrito Especial, Deportivo, Cultural, Turístico, Empresarial y de Servicios de Santiago de Cali</w:t>
            </w:r>
            <w:r>
              <w:rPr>
                <w:rFonts w:ascii="Bookman Old Style" w:eastAsia="Bookman Old Style" w:hAnsi="Bookman Old Style" w:cs="Bookman Old Style"/>
                <w:color w:val="000000"/>
                <w:sz w:val="22"/>
                <w:szCs w:val="22"/>
              </w:rPr>
              <w:t>”</w:t>
            </w:r>
          </w:p>
          <w:p w:rsidR="00506B2D" w:rsidRDefault="00506B2D">
            <w:pPr>
              <w:rPr>
                <w:rFonts w:ascii="Bookman Old Style" w:eastAsia="Bookman Old Style" w:hAnsi="Bookman Old Style" w:cs="Bookman Old Style"/>
                <w:sz w:val="22"/>
                <w:szCs w:val="22"/>
              </w:rPr>
            </w:pPr>
          </w:p>
          <w:p w:rsidR="00506B2D" w:rsidRDefault="008C5B26">
            <w:pPr>
              <w:jc w:val="center"/>
              <w:rPr>
                <w:rFonts w:ascii="Bookman Old Style" w:eastAsia="Bookman Old Style" w:hAnsi="Bookman Old Style" w:cs="Bookman Old Style"/>
                <w:sz w:val="22"/>
                <w:szCs w:val="22"/>
              </w:rPr>
            </w:pPr>
            <w:r>
              <w:rPr>
                <w:rFonts w:ascii="Bookman Old Style" w:eastAsia="Bookman Old Style" w:hAnsi="Bookman Old Style" w:cs="Bookman Old Style"/>
                <w:color w:val="000000"/>
                <w:sz w:val="22"/>
                <w:szCs w:val="22"/>
              </w:rPr>
              <w:t>EL CONGRESO DE COLOMBIA,</w:t>
            </w:r>
          </w:p>
          <w:p w:rsidR="00506B2D" w:rsidRDefault="008C5B26">
            <w:pPr>
              <w:jc w:val="center"/>
              <w:rPr>
                <w:rFonts w:ascii="Bookman Old Style" w:eastAsia="Bookman Old Style" w:hAnsi="Bookman Old Style" w:cs="Bookman Old Style"/>
                <w:sz w:val="22"/>
                <w:szCs w:val="22"/>
              </w:rPr>
            </w:pPr>
            <w:r>
              <w:rPr>
                <w:rFonts w:ascii="Bookman Old Style" w:eastAsia="Bookman Old Style" w:hAnsi="Bookman Old Style" w:cs="Bookman Old Style"/>
                <w:b/>
                <w:color w:val="000000"/>
                <w:sz w:val="22"/>
                <w:szCs w:val="22"/>
              </w:rPr>
              <w:t>DECRETA:</w:t>
            </w:r>
          </w:p>
          <w:p w:rsidR="00506B2D" w:rsidRDefault="00506B2D">
            <w:pPr>
              <w:spacing w:after="240"/>
              <w:rPr>
                <w:rFonts w:ascii="Bookman Old Style" w:eastAsia="Bookman Old Style" w:hAnsi="Bookman Old Style" w:cs="Bookman Old Style"/>
                <w:sz w:val="22"/>
                <w:szCs w:val="22"/>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06B2D" w:rsidRDefault="008C5B26">
            <w:pPr>
              <w:jc w:val="center"/>
              <w:rPr>
                <w:rFonts w:ascii="Bookman Old Style" w:eastAsia="Bookman Old Style" w:hAnsi="Bookman Old Style" w:cs="Bookman Old Style"/>
                <w:sz w:val="22"/>
                <w:szCs w:val="22"/>
              </w:rPr>
            </w:pPr>
            <w:r>
              <w:rPr>
                <w:rFonts w:ascii="Bookman Old Style" w:eastAsia="Bookman Old Style" w:hAnsi="Bookman Old Style" w:cs="Bookman Old Style"/>
                <w:b/>
                <w:color w:val="000000"/>
                <w:sz w:val="22"/>
                <w:szCs w:val="22"/>
              </w:rPr>
              <w:t>PROYECTO DE LEY No 039 DE 2020</w:t>
            </w:r>
          </w:p>
          <w:p w:rsidR="00506B2D" w:rsidRDefault="008C5B26">
            <w:pPr>
              <w:jc w:val="both"/>
              <w:rPr>
                <w:rFonts w:ascii="Bookman Old Style" w:eastAsia="Bookman Old Style" w:hAnsi="Bookman Old Style" w:cs="Bookman Old Style"/>
                <w:sz w:val="22"/>
                <w:szCs w:val="22"/>
              </w:rPr>
            </w:pPr>
            <w:r>
              <w:rPr>
                <w:rFonts w:ascii="Bookman Old Style" w:eastAsia="Bookman Old Style" w:hAnsi="Bookman Old Style" w:cs="Bookman Old Style"/>
                <w:color w:val="000000"/>
                <w:sz w:val="22"/>
                <w:szCs w:val="22"/>
              </w:rPr>
              <w:t xml:space="preserve">“Por medio </w:t>
            </w:r>
            <w:r>
              <w:rPr>
                <w:rFonts w:ascii="Bookman Old Style" w:eastAsia="Bookman Old Style" w:hAnsi="Bookman Old Style" w:cs="Bookman Old Style"/>
                <w:b/>
                <w:color w:val="000000"/>
                <w:sz w:val="22"/>
                <w:szCs w:val="22"/>
                <w:u w:val="single"/>
              </w:rPr>
              <w:t>de la</w:t>
            </w:r>
            <w:r>
              <w:rPr>
                <w:rFonts w:ascii="Bookman Old Style" w:eastAsia="Bookman Old Style" w:hAnsi="Bookman Old Style" w:cs="Bookman Old Style"/>
                <w:color w:val="000000"/>
                <w:sz w:val="22"/>
                <w:szCs w:val="22"/>
              </w:rPr>
              <w:t xml:space="preserve"> cual se adiciona un parágrafo al artículo 91 de la Ley 1708 de 2014 y se regula la transferencia a título gratuito de los bienes con extinción de dominio </w:t>
            </w:r>
            <w:r>
              <w:rPr>
                <w:rFonts w:ascii="Bookman Old Style" w:eastAsia="Bookman Old Style" w:hAnsi="Bookman Old Style" w:cs="Bookman Old Style"/>
                <w:b/>
                <w:color w:val="000000"/>
                <w:sz w:val="22"/>
                <w:szCs w:val="22"/>
                <w:u w:val="single"/>
              </w:rPr>
              <w:t>a los municipios y distritos. </w:t>
            </w:r>
          </w:p>
          <w:p w:rsidR="00506B2D" w:rsidRDefault="008C5B26">
            <w:pPr>
              <w:spacing w:after="24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br/>
            </w:r>
            <w:r>
              <w:rPr>
                <w:rFonts w:ascii="Bookman Old Style" w:eastAsia="Bookman Old Style" w:hAnsi="Bookman Old Style" w:cs="Bookman Old Style"/>
                <w:sz w:val="22"/>
                <w:szCs w:val="22"/>
              </w:rPr>
              <w:br/>
            </w:r>
          </w:p>
          <w:p w:rsidR="00506B2D" w:rsidRDefault="008C5B26">
            <w:pPr>
              <w:jc w:val="center"/>
              <w:rPr>
                <w:rFonts w:ascii="Bookman Old Style" w:eastAsia="Bookman Old Style" w:hAnsi="Bookman Old Style" w:cs="Bookman Old Style"/>
                <w:sz w:val="22"/>
                <w:szCs w:val="22"/>
              </w:rPr>
            </w:pPr>
            <w:r>
              <w:rPr>
                <w:rFonts w:ascii="Bookman Old Style" w:eastAsia="Bookman Old Style" w:hAnsi="Bookman Old Style" w:cs="Bookman Old Style"/>
                <w:color w:val="000000"/>
                <w:sz w:val="22"/>
                <w:szCs w:val="22"/>
              </w:rPr>
              <w:t>EL CONGRESO DE COLOM</w:t>
            </w:r>
            <w:r>
              <w:rPr>
                <w:rFonts w:ascii="Bookman Old Style" w:eastAsia="Bookman Old Style" w:hAnsi="Bookman Old Style" w:cs="Bookman Old Style"/>
                <w:color w:val="000000"/>
                <w:sz w:val="22"/>
                <w:szCs w:val="22"/>
              </w:rPr>
              <w:t>BIA,</w:t>
            </w:r>
          </w:p>
          <w:p w:rsidR="00506B2D" w:rsidRDefault="008C5B26">
            <w:pPr>
              <w:jc w:val="center"/>
              <w:rPr>
                <w:rFonts w:ascii="Bookman Old Style" w:eastAsia="Bookman Old Style" w:hAnsi="Bookman Old Style" w:cs="Bookman Old Style"/>
                <w:sz w:val="22"/>
                <w:szCs w:val="22"/>
              </w:rPr>
            </w:pPr>
            <w:r>
              <w:rPr>
                <w:rFonts w:ascii="Bookman Old Style" w:eastAsia="Bookman Old Style" w:hAnsi="Bookman Old Style" w:cs="Bookman Old Style"/>
                <w:b/>
                <w:color w:val="000000"/>
                <w:sz w:val="22"/>
                <w:szCs w:val="22"/>
              </w:rPr>
              <w:t>DECRETA:</w:t>
            </w:r>
          </w:p>
          <w:p w:rsidR="00506B2D" w:rsidRDefault="00506B2D">
            <w:pPr>
              <w:spacing w:after="240"/>
              <w:rPr>
                <w:rFonts w:ascii="Bookman Old Style" w:eastAsia="Bookman Old Style" w:hAnsi="Bookman Old Style" w:cs="Bookman Old Style"/>
                <w:sz w:val="22"/>
                <w:szCs w:val="22"/>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06B2D" w:rsidRDefault="008C5B26">
            <w:pPr>
              <w:jc w:val="both"/>
              <w:rPr>
                <w:rFonts w:ascii="Bookman Old Style" w:eastAsia="Bookman Old Style" w:hAnsi="Bookman Old Style" w:cs="Bookman Old Style"/>
                <w:sz w:val="22"/>
                <w:szCs w:val="22"/>
              </w:rPr>
            </w:pPr>
            <w:r>
              <w:rPr>
                <w:rFonts w:ascii="Bookman Old Style" w:eastAsia="Bookman Old Style" w:hAnsi="Bookman Old Style" w:cs="Bookman Old Style"/>
                <w:b/>
                <w:color w:val="000000"/>
                <w:sz w:val="22"/>
                <w:szCs w:val="22"/>
              </w:rPr>
              <w:t>De acuerdo con las observaciones realizadas por los representantes en primer debate, se plantea ampliar el objeto del proyecto de Ley, para que sean beneficiarios de las medidas que se proponen, todos los municipios y distritos que tengan bi</w:t>
            </w:r>
            <w:r>
              <w:rPr>
                <w:rFonts w:ascii="Bookman Old Style" w:eastAsia="Bookman Old Style" w:hAnsi="Bookman Old Style" w:cs="Bookman Old Style"/>
                <w:b/>
                <w:color w:val="000000"/>
                <w:sz w:val="22"/>
                <w:szCs w:val="22"/>
              </w:rPr>
              <w:t>enes extintos dentro de su territorialidad. </w:t>
            </w:r>
          </w:p>
        </w:tc>
      </w:tr>
      <w:tr w:rsidR="00506B2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06B2D" w:rsidRDefault="008C5B26">
            <w:pPr>
              <w:spacing w:after="200"/>
              <w:jc w:val="both"/>
              <w:rPr>
                <w:rFonts w:ascii="Bookman Old Style" w:eastAsia="Bookman Old Style" w:hAnsi="Bookman Old Style" w:cs="Bookman Old Style"/>
                <w:sz w:val="22"/>
                <w:szCs w:val="22"/>
              </w:rPr>
            </w:pPr>
            <w:r>
              <w:rPr>
                <w:rFonts w:ascii="Bookman Old Style" w:eastAsia="Bookman Old Style" w:hAnsi="Bookman Old Style" w:cs="Bookman Old Style"/>
                <w:b/>
                <w:color w:val="000000"/>
                <w:sz w:val="22"/>
                <w:szCs w:val="22"/>
              </w:rPr>
              <w:t>ARTÍCULO 1°.</w:t>
            </w:r>
            <w:r>
              <w:rPr>
                <w:rFonts w:ascii="Bookman Old Style" w:eastAsia="Bookman Old Style" w:hAnsi="Bookman Old Style" w:cs="Bookman Old Style"/>
                <w:color w:val="000000"/>
                <w:sz w:val="22"/>
                <w:szCs w:val="22"/>
              </w:rPr>
              <w:t xml:space="preserve"> Adiciónese un parágrafo al artículo 91 de la Ley 1708 de 2014 “Por la cual se expide el Código Nacional de Extinción de Dominio” modificada por el artículo 22 de la Ley 1849 de 2017, el cual quedar</w:t>
            </w:r>
            <w:r>
              <w:rPr>
                <w:rFonts w:ascii="Bookman Old Style" w:eastAsia="Bookman Old Style" w:hAnsi="Bookman Old Style" w:cs="Bookman Old Style"/>
                <w:color w:val="000000"/>
                <w:sz w:val="22"/>
                <w:szCs w:val="22"/>
              </w:rPr>
              <w:t>á así:</w:t>
            </w:r>
          </w:p>
          <w:p w:rsidR="00506B2D" w:rsidRDefault="008C5B26">
            <w:pPr>
              <w:spacing w:before="240" w:after="200"/>
              <w:jc w:val="both"/>
              <w:rPr>
                <w:rFonts w:ascii="Bookman Old Style" w:eastAsia="Bookman Old Style" w:hAnsi="Bookman Old Style" w:cs="Bookman Old Style"/>
                <w:sz w:val="22"/>
                <w:szCs w:val="22"/>
              </w:rPr>
            </w:pPr>
            <w:r>
              <w:rPr>
                <w:rFonts w:ascii="Bookman Old Style" w:eastAsia="Bookman Old Style" w:hAnsi="Bookman Old Style" w:cs="Bookman Old Style"/>
                <w:i/>
                <w:color w:val="000000"/>
                <w:sz w:val="22"/>
                <w:szCs w:val="22"/>
              </w:rPr>
              <w:t xml:space="preserve">“Parágrafo 5º: </w:t>
            </w:r>
            <w:r>
              <w:rPr>
                <w:rFonts w:ascii="Bookman Old Style" w:eastAsia="Bookman Old Style" w:hAnsi="Bookman Old Style" w:cs="Bookman Old Style"/>
                <w:i/>
                <w:strike/>
                <w:color w:val="000000"/>
                <w:sz w:val="22"/>
                <w:szCs w:val="22"/>
              </w:rPr>
              <w:t>El Distrito Especial, Deportivo, Cultural, Turístico, Empresarial y de Servicios de Santiago de Cali</w:t>
            </w:r>
            <w:r>
              <w:rPr>
                <w:rFonts w:ascii="Bookman Old Style" w:eastAsia="Bookman Old Style" w:hAnsi="Bookman Old Style" w:cs="Bookman Old Style"/>
                <w:i/>
                <w:color w:val="000000"/>
                <w:sz w:val="22"/>
                <w:szCs w:val="22"/>
              </w:rPr>
              <w:t xml:space="preserve"> podrá solicitar la transferencia a título gratuito de los bienes inmuebles ubicados dentro de su territorialidad y a los cuales se les haya declarado la extinción de dominio con el fin de destinar su adaptación para programas relacionados con cultura, dep</w:t>
            </w:r>
            <w:r>
              <w:rPr>
                <w:rFonts w:ascii="Bookman Old Style" w:eastAsia="Bookman Old Style" w:hAnsi="Bookman Old Style" w:cs="Bookman Old Style"/>
                <w:i/>
                <w:color w:val="000000"/>
                <w:sz w:val="22"/>
                <w:szCs w:val="22"/>
              </w:rPr>
              <w:t>orte, turismo o educación.” </w:t>
            </w:r>
          </w:p>
          <w:p w:rsidR="00506B2D" w:rsidRDefault="008C5B26">
            <w:pPr>
              <w:spacing w:after="24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br/>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06B2D" w:rsidRDefault="008C5B26">
            <w:pPr>
              <w:spacing w:after="200"/>
              <w:jc w:val="both"/>
              <w:rPr>
                <w:rFonts w:ascii="Bookman Old Style" w:eastAsia="Bookman Old Style" w:hAnsi="Bookman Old Style" w:cs="Bookman Old Style"/>
                <w:sz w:val="22"/>
                <w:szCs w:val="22"/>
              </w:rPr>
            </w:pPr>
            <w:r>
              <w:rPr>
                <w:rFonts w:ascii="Bookman Old Style" w:eastAsia="Bookman Old Style" w:hAnsi="Bookman Old Style" w:cs="Bookman Old Style"/>
                <w:b/>
                <w:color w:val="000000"/>
                <w:sz w:val="22"/>
                <w:szCs w:val="22"/>
              </w:rPr>
              <w:t>ARTÍCULO 1°.</w:t>
            </w:r>
            <w:r>
              <w:rPr>
                <w:rFonts w:ascii="Bookman Old Style" w:eastAsia="Bookman Old Style" w:hAnsi="Bookman Old Style" w:cs="Bookman Old Style"/>
                <w:color w:val="000000"/>
                <w:sz w:val="22"/>
                <w:szCs w:val="22"/>
              </w:rPr>
              <w:t xml:space="preserve"> Adiciónese un parágrafo al artículo 91 de la Ley 1708 de 2014 “Por la cual se expide el Código Nacional de Extinción de Dominio” modificada por el artículo 22 de la Ley 1849 de 2017, el cual quedará así:</w:t>
            </w:r>
          </w:p>
          <w:p w:rsidR="00506B2D" w:rsidRDefault="008C5B26">
            <w:pPr>
              <w:spacing w:before="240" w:after="200"/>
              <w:jc w:val="both"/>
              <w:rPr>
                <w:rFonts w:ascii="Bookman Old Style" w:eastAsia="Bookman Old Style" w:hAnsi="Bookman Old Style" w:cs="Bookman Old Style"/>
                <w:sz w:val="22"/>
                <w:szCs w:val="22"/>
              </w:rPr>
            </w:pPr>
            <w:r>
              <w:rPr>
                <w:rFonts w:ascii="Bookman Old Style" w:eastAsia="Bookman Old Style" w:hAnsi="Bookman Old Style" w:cs="Bookman Old Style"/>
                <w:i/>
                <w:color w:val="000000"/>
                <w:sz w:val="22"/>
                <w:szCs w:val="22"/>
              </w:rPr>
              <w:t xml:space="preserve">“Parágrafo 5º: </w:t>
            </w:r>
            <w:r>
              <w:rPr>
                <w:rFonts w:ascii="Bookman Old Style" w:eastAsia="Bookman Old Style" w:hAnsi="Bookman Old Style" w:cs="Bookman Old Style"/>
                <w:b/>
                <w:i/>
                <w:color w:val="000000"/>
                <w:sz w:val="22"/>
                <w:szCs w:val="22"/>
                <w:u w:val="single"/>
              </w:rPr>
              <w:t>Los municipios y distritos</w:t>
            </w:r>
            <w:r>
              <w:rPr>
                <w:rFonts w:ascii="Bookman Old Style" w:eastAsia="Bookman Old Style" w:hAnsi="Bookman Old Style" w:cs="Bookman Old Style"/>
                <w:i/>
                <w:color w:val="000000"/>
                <w:sz w:val="22"/>
                <w:szCs w:val="22"/>
              </w:rPr>
              <w:t xml:space="preserve"> podrá</w:t>
            </w:r>
            <w:r>
              <w:rPr>
                <w:rFonts w:ascii="Bookman Old Style" w:eastAsia="Bookman Old Style" w:hAnsi="Bookman Old Style" w:cs="Bookman Old Style"/>
                <w:b/>
                <w:i/>
                <w:color w:val="000000"/>
                <w:sz w:val="22"/>
                <w:szCs w:val="22"/>
                <w:u w:val="single"/>
              </w:rPr>
              <w:t>n</w:t>
            </w:r>
            <w:r>
              <w:rPr>
                <w:rFonts w:ascii="Bookman Old Style" w:eastAsia="Bookman Old Style" w:hAnsi="Bookman Old Style" w:cs="Bookman Old Style"/>
                <w:i/>
                <w:color w:val="000000"/>
                <w:sz w:val="22"/>
                <w:szCs w:val="22"/>
              </w:rPr>
              <w:t xml:space="preserve"> solicitar la transferencia a título gratuito de los bienes inmuebles ubicados dentro de su territorialidad y a los cuales se les haya declarado la extinción de dominio con el fin de destinar su adaptación pa</w:t>
            </w:r>
            <w:r>
              <w:rPr>
                <w:rFonts w:ascii="Bookman Old Style" w:eastAsia="Bookman Old Style" w:hAnsi="Bookman Old Style" w:cs="Bookman Old Style"/>
                <w:i/>
                <w:color w:val="000000"/>
                <w:sz w:val="22"/>
                <w:szCs w:val="22"/>
              </w:rPr>
              <w:t xml:space="preserve">ra programas relacionados con </w:t>
            </w:r>
            <w:r>
              <w:rPr>
                <w:rFonts w:ascii="Bookman Old Style" w:eastAsia="Bookman Old Style" w:hAnsi="Bookman Old Style" w:cs="Bookman Old Style"/>
                <w:b/>
                <w:i/>
                <w:color w:val="000000"/>
                <w:sz w:val="22"/>
                <w:szCs w:val="22"/>
                <w:u w:val="single"/>
              </w:rPr>
              <w:t>salud,</w:t>
            </w:r>
            <w:r>
              <w:rPr>
                <w:rFonts w:ascii="Bookman Old Style" w:eastAsia="Bookman Old Style" w:hAnsi="Bookman Old Style" w:cs="Bookman Old Style"/>
                <w:i/>
                <w:color w:val="000000"/>
                <w:sz w:val="22"/>
                <w:szCs w:val="22"/>
              </w:rPr>
              <w:t xml:space="preserve"> cultura, deporte, </w:t>
            </w:r>
            <w:r>
              <w:rPr>
                <w:rFonts w:ascii="Bookman Old Style" w:eastAsia="Bookman Old Style" w:hAnsi="Bookman Old Style" w:cs="Bookman Old Style"/>
                <w:b/>
                <w:i/>
                <w:color w:val="000000"/>
                <w:sz w:val="22"/>
                <w:szCs w:val="22"/>
                <w:u w:val="single"/>
              </w:rPr>
              <w:t>eco</w:t>
            </w:r>
            <w:r>
              <w:rPr>
                <w:rFonts w:ascii="Bookman Old Style" w:eastAsia="Bookman Old Style" w:hAnsi="Bookman Old Style" w:cs="Bookman Old Style"/>
                <w:i/>
                <w:color w:val="000000"/>
                <w:sz w:val="22"/>
                <w:szCs w:val="22"/>
              </w:rPr>
              <w:t>turismo o educación.” </w:t>
            </w:r>
          </w:p>
          <w:p w:rsidR="00506B2D" w:rsidRDefault="008C5B26">
            <w:pPr>
              <w:spacing w:after="24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br/>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06B2D" w:rsidRDefault="008C5B26">
            <w:pPr>
              <w:spacing w:after="200"/>
              <w:jc w:val="both"/>
              <w:rPr>
                <w:rFonts w:ascii="Bookman Old Style" w:eastAsia="Bookman Old Style" w:hAnsi="Bookman Old Style" w:cs="Bookman Old Style"/>
                <w:sz w:val="22"/>
                <w:szCs w:val="22"/>
              </w:rPr>
            </w:pPr>
            <w:r>
              <w:rPr>
                <w:rFonts w:ascii="Bookman Old Style" w:eastAsia="Bookman Old Style" w:hAnsi="Bookman Old Style" w:cs="Bookman Old Style"/>
                <w:b/>
                <w:color w:val="000000"/>
                <w:sz w:val="22"/>
                <w:szCs w:val="22"/>
              </w:rPr>
              <w:t>En el mismo sentido, se amplían los beneficiarios a todos los municipios y distritos que cumplan con las condiciones descritas. </w:t>
            </w:r>
          </w:p>
        </w:tc>
      </w:tr>
      <w:tr w:rsidR="00506B2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06B2D" w:rsidRDefault="008C5B26">
            <w:pPr>
              <w:jc w:val="both"/>
              <w:rPr>
                <w:rFonts w:ascii="Bookman Old Style" w:eastAsia="Bookman Old Style" w:hAnsi="Bookman Old Style" w:cs="Bookman Old Style"/>
                <w:sz w:val="22"/>
                <w:szCs w:val="22"/>
              </w:rPr>
            </w:pPr>
            <w:r>
              <w:rPr>
                <w:rFonts w:ascii="Bookman Old Style" w:eastAsia="Bookman Old Style" w:hAnsi="Bookman Old Style" w:cs="Bookman Old Style"/>
                <w:b/>
                <w:color w:val="000000"/>
                <w:sz w:val="22"/>
                <w:szCs w:val="22"/>
              </w:rPr>
              <w:t>ARTÍCULO 2°</w:t>
            </w:r>
            <w:r>
              <w:rPr>
                <w:rFonts w:ascii="Bookman Old Style" w:eastAsia="Bookman Old Style" w:hAnsi="Bookman Old Style" w:cs="Bookman Old Style"/>
                <w:color w:val="000000"/>
                <w:sz w:val="22"/>
                <w:szCs w:val="22"/>
              </w:rPr>
              <w:t xml:space="preserve">.  </w:t>
            </w:r>
            <w:r>
              <w:rPr>
                <w:rFonts w:ascii="Bookman Old Style" w:eastAsia="Bookman Old Style" w:hAnsi="Bookman Old Style" w:cs="Bookman Old Style"/>
                <w:b/>
                <w:color w:val="000000"/>
                <w:sz w:val="22"/>
                <w:szCs w:val="22"/>
              </w:rPr>
              <w:t>PROCEDIMIENTO DE LA SOLICITUD</w:t>
            </w:r>
            <w:r>
              <w:rPr>
                <w:rFonts w:ascii="Bookman Old Style" w:eastAsia="Bookman Old Style" w:hAnsi="Bookman Old Style" w:cs="Bookman Old Style"/>
                <w:color w:val="000000"/>
                <w:sz w:val="22"/>
                <w:szCs w:val="22"/>
              </w:rPr>
              <w:t xml:space="preserve">. El alcalde del </w:t>
            </w:r>
            <w:r>
              <w:rPr>
                <w:rFonts w:ascii="Bookman Old Style" w:eastAsia="Bookman Old Style" w:hAnsi="Bookman Old Style" w:cs="Bookman Old Style"/>
                <w:strike/>
                <w:color w:val="000000"/>
                <w:sz w:val="22"/>
                <w:szCs w:val="22"/>
              </w:rPr>
              <w:t>Distrito</w:t>
            </w:r>
            <w:r>
              <w:rPr>
                <w:rFonts w:ascii="Bookman Old Style" w:eastAsia="Bookman Old Style" w:hAnsi="Bookman Old Style" w:cs="Bookman Old Style"/>
                <w:color w:val="000000"/>
                <w:sz w:val="22"/>
                <w:szCs w:val="22"/>
              </w:rPr>
              <w:t xml:space="preserve"> </w:t>
            </w:r>
            <w:r>
              <w:rPr>
                <w:rFonts w:ascii="Bookman Old Style" w:eastAsia="Bookman Old Style" w:hAnsi="Bookman Old Style" w:cs="Bookman Old Style"/>
                <w:strike/>
                <w:color w:val="000000"/>
                <w:sz w:val="22"/>
                <w:szCs w:val="22"/>
              </w:rPr>
              <w:t>Especial, Deportivo, Cultural, Turístico, Empresarial y de Servicios de Santiago de Cali</w:t>
            </w:r>
            <w:r>
              <w:rPr>
                <w:rFonts w:ascii="Bookman Old Style" w:eastAsia="Bookman Old Style" w:hAnsi="Bookman Old Style" w:cs="Bookman Old Style"/>
                <w:color w:val="000000"/>
                <w:sz w:val="22"/>
                <w:szCs w:val="22"/>
              </w:rPr>
              <w:t xml:space="preserve">, deberá contar con la autorización del </w:t>
            </w:r>
            <w:r>
              <w:rPr>
                <w:rFonts w:ascii="Bookman Old Style" w:eastAsia="Bookman Old Style" w:hAnsi="Bookman Old Style" w:cs="Bookman Old Style"/>
                <w:strike/>
                <w:color w:val="000000"/>
                <w:sz w:val="22"/>
                <w:szCs w:val="22"/>
              </w:rPr>
              <w:t>Concejo Distrital</w:t>
            </w:r>
            <w:r>
              <w:rPr>
                <w:rFonts w:ascii="Bookman Old Style" w:eastAsia="Bookman Old Style" w:hAnsi="Bookman Old Style" w:cs="Bookman Old Style"/>
                <w:color w:val="000000"/>
                <w:sz w:val="22"/>
                <w:szCs w:val="22"/>
              </w:rPr>
              <w:t xml:space="preserve"> para presentar la solicitud, y sólo podrá solicitar la transferencia a título gratui</w:t>
            </w:r>
            <w:r>
              <w:rPr>
                <w:rFonts w:ascii="Bookman Old Style" w:eastAsia="Bookman Old Style" w:hAnsi="Bookman Old Style" w:cs="Bookman Old Style"/>
                <w:color w:val="000000"/>
                <w:sz w:val="22"/>
                <w:szCs w:val="22"/>
              </w:rPr>
              <w:t>to de los bienes que conforme a sus características consideren necesarios para el desarrollo y ejecución de aquellos proyectos que el consejo de gobierno haya declarado de importancia estratégica.</w:t>
            </w:r>
          </w:p>
          <w:p w:rsidR="00506B2D" w:rsidRDefault="00506B2D">
            <w:pPr>
              <w:rPr>
                <w:rFonts w:ascii="Bookman Old Style" w:eastAsia="Bookman Old Style" w:hAnsi="Bookman Old Style" w:cs="Bookman Old Style"/>
                <w:sz w:val="22"/>
                <w:szCs w:val="22"/>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06B2D" w:rsidRDefault="008C5B26">
            <w:pPr>
              <w:jc w:val="both"/>
              <w:rPr>
                <w:rFonts w:ascii="Bookman Old Style" w:eastAsia="Bookman Old Style" w:hAnsi="Bookman Old Style" w:cs="Bookman Old Style"/>
                <w:sz w:val="22"/>
                <w:szCs w:val="22"/>
              </w:rPr>
            </w:pPr>
            <w:r>
              <w:rPr>
                <w:rFonts w:ascii="Bookman Old Style" w:eastAsia="Bookman Old Style" w:hAnsi="Bookman Old Style" w:cs="Bookman Old Style"/>
                <w:b/>
                <w:color w:val="000000"/>
                <w:sz w:val="22"/>
                <w:szCs w:val="22"/>
              </w:rPr>
              <w:t>ARTÍCULO 2°</w:t>
            </w:r>
            <w:r>
              <w:rPr>
                <w:rFonts w:ascii="Bookman Old Style" w:eastAsia="Bookman Old Style" w:hAnsi="Bookman Old Style" w:cs="Bookman Old Style"/>
                <w:color w:val="000000"/>
                <w:sz w:val="22"/>
                <w:szCs w:val="22"/>
              </w:rPr>
              <w:t xml:space="preserve">.  </w:t>
            </w:r>
            <w:r>
              <w:rPr>
                <w:rFonts w:ascii="Bookman Old Style" w:eastAsia="Bookman Old Style" w:hAnsi="Bookman Old Style" w:cs="Bookman Old Style"/>
                <w:b/>
                <w:color w:val="000000"/>
                <w:sz w:val="22"/>
                <w:szCs w:val="22"/>
              </w:rPr>
              <w:t>PROCEDIMIENTO DE LA SOLICITUD</w:t>
            </w:r>
            <w:r>
              <w:rPr>
                <w:rFonts w:ascii="Bookman Old Style" w:eastAsia="Bookman Old Style" w:hAnsi="Bookman Old Style" w:cs="Bookman Old Style"/>
                <w:color w:val="000000"/>
                <w:sz w:val="22"/>
                <w:szCs w:val="22"/>
              </w:rPr>
              <w:t xml:space="preserve">. </w:t>
            </w:r>
            <w:r>
              <w:rPr>
                <w:rFonts w:ascii="Bookman Old Style" w:eastAsia="Bookman Old Style" w:hAnsi="Bookman Old Style" w:cs="Bookman Old Style"/>
                <w:b/>
                <w:color w:val="000000"/>
                <w:sz w:val="22"/>
                <w:szCs w:val="22"/>
                <w:u w:val="single"/>
              </w:rPr>
              <w:t>El alcalde del municipio o</w:t>
            </w:r>
            <w:r>
              <w:rPr>
                <w:rFonts w:ascii="Bookman Old Style" w:eastAsia="Bookman Old Style" w:hAnsi="Bookman Old Style" w:cs="Bookman Old Style"/>
                <w:color w:val="000000"/>
                <w:sz w:val="22"/>
                <w:szCs w:val="22"/>
              </w:rPr>
              <w:t xml:space="preserve"> </w:t>
            </w:r>
            <w:r>
              <w:rPr>
                <w:rFonts w:ascii="Bookman Old Style" w:eastAsia="Bookman Old Style" w:hAnsi="Bookman Old Style" w:cs="Bookman Old Style"/>
                <w:b/>
                <w:color w:val="000000"/>
                <w:sz w:val="22"/>
                <w:szCs w:val="22"/>
                <w:u w:val="single"/>
              </w:rPr>
              <w:t>distrito</w:t>
            </w:r>
            <w:r>
              <w:rPr>
                <w:rFonts w:ascii="Bookman Old Style" w:eastAsia="Bookman Old Style" w:hAnsi="Bookman Old Style" w:cs="Bookman Old Style"/>
                <w:color w:val="000000"/>
                <w:sz w:val="22"/>
                <w:szCs w:val="22"/>
              </w:rPr>
              <w:t xml:space="preserve"> deberá contar con la autorización del </w:t>
            </w:r>
            <w:r>
              <w:rPr>
                <w:rFonts w:ascii="Bookman Old Style" w:eastAsia="Bookman Old Style" w:hAnsi="Bookman Old Style" w:cs="Bookman Old Style"/>
                <w:b/>
                <w:color w:val="000000"/>
                <w:sz w:val="22"/>
                <w:szCs w:val="22"/>
                <w:u w:val="single"/>
              </w:rPr>
              <w:t xml:space="preserve">Concejo Municipal o Distrital </w:t>
            </w:r>
            <w:r>
              <w:rPr>
                <w:rFonts w:ascii="Bookman Old Style" w:eastAsia="Bookman Old Style" w:hAnsi="Bookman Old Style" w:cs="Bookman Old Style"/>
                <w:color w:val="000000"/>
                <w:sz w:val="22"/>
                <w:szCs w:val="22"/>
              </w:rPr>
              <w:t>para presentar la solicitud, y sólo podrá solicitar la transferencia a título gratuito de los bienes que conforme a sus características consideren neces</w:t>
            </w:r>
            <w:r>
              <w:rPr>
                <w:rFonts w:ascii="Bookman Old Style" w:eastAsia="Bookman Old Style" w:hAnsi="Bookman Old Style" w:cs="Bookman Old Style"/>
                <w:color w:val="000000"/>
                <w:sz w:val="22"/>
                <w:szCs w:val="22"/>
              </w:rPr>
              <w:t>arios para el desarrollo y ejecución de aquellos proyectos que el consejo de gobierno haya declarado de importancia estratégica.</w:t>
            </w:r>
          </w:p>
          <w:p w:rsidR="00506B2D" w:rsidRDefault="00506B2D">
            <w:pPr>
              <w:rPr>
                <w:rFonts w:ascii="Bookman Old Style" w:eastAsia="Bookman Old Style" w:hAnsi="Bookman Old Style" w:cs="Bookman Old Style"/>
                <w:sz w:val="22"/>
                <w:szCs w:val="22"/>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06B2D" w:rsidRDefault="008C5B26">
            <w:pPr>
              <w:jc w:val="both"/>
              <w:rPr>
                <w:rFonts w:ascii="Bookman Old Style" w:eastAsia="Bookman Old Style" w:hAnsi="Bookman Old Style" w:cs="Bookman Old Style"/>
                <w:sz w:val="22"/>
                <w:szCs w:val="22"/>
              </w:rPr>
            </w:pPr>
            <w:r>
              <w:rPr>
                <w:rFonts w:ascii="Bookman Old Style" w:eastAsia="Bookman Old Style" w:hAnsi="Bookman Old Style" w:cs="Bookman Old Style"/>
                <w:b/>
                <w:color w:val="000000"/>
                <w:sz w:val="22"/>
                <w:szCs w:val="22"/>
              </w:rPr>
              <w:t>Se amplía la facultad de solicitud a los alcaldes municipales o distritales.</w:t>
            </w:r>
          </w:p>
        </w:tc>
      </w:tr>
      <w:tr w:rsidR="00506B2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06B2D" w:rsidRDefault="008C5B26">
            <w:pPr>
              <w:jc w:val="both"/>
              <w:rPr>
                <w:rFonts w:ascii="Bookman Old Style" w:eastAsia="Bookman Old Style" w:hAnsi="Bookman Old Style" w:cs="Bookman Old Style"/>
                <w:sz w:val="22"/>
                <w:szCs w:val="22"/>
              </w:rPr>
            </w:pPr>
            <w:r>
              <w:rPr>
                <w:rFonts w:ascii="Bookman Old Style" w:eastAsia="Bookman Old Style" w:hAnsi="Bookman Old Style" w:cs="Bookman Old Style"/>
                <w:b/>
                <w:color w:val="000000"/>
                <w:sz w:val="22"/>
                <w:szCs w:val="22"/>
              </w:rPr>
              <w:t>ARTÍCULO 3°. PRINCIPIOS.</w:t>
            </w:r>
            <w:r>
              <w:rPr>
                <w:rFonts w:ascii="Bookman Old Style" w:eastAsia="Bookman Old Style" w:hAnsi="Bookman Old Style" w:cs="Bookman Old Style"/>
                <w:color w:val="000000"/>
                <w:sz w:val="22"/>
                <w:szCs w:val="22"/>
              </w:rPr>
              <w:t xml:space="preserve"> El gobierno nacional a </w:t>
            </w:r>
            <w:r>
              <w:rPr>
                <w:rFonts w:ascii="Bookman Old Style" w:eastAsia="Bookman Old Style" w:hAnsi="Bookman Old Style" w:cs="Bookman Old Style"/>
                <w:color w:val="000000"/>
                <w:sz w:val="22"/>
                <w:szCs w:val="22"/>
              </w:rPr>
              <w:t xml:space="preserve">través de la Sociedad de Activos Especiales deberá atender la solicitud que realice el distrito para la transferencia a título gratuito </w:t>
            </w:r>
            <w:r>
              <w:rPr>
                <w:rFonts w:ascii="Bookman Old Style" w:eastAsia="Bookman Old Style" w:hAnsi="Bookman Old Style" w:cs="Bookman Old Style"/>
                <w:b/>
                <w:color w:val="000000"/>
                <w:sz w:val="22"/>
                <w:szCs w:val="22"/>
              </w:rPr>
              <w:t>de los bienes sobre los que se declare la extinción de dominio</w:t>
            </w:r>
            <w:r>
              <w:rPr>
                <w:rFonts w:ascii="Bookman Old Style" w:eastAsia="Bookman Old Style" w:hAnsi="Bookman Old Style" w:cs="Bookman Old Style"/>
                <w:color w:val="000000"/>
                <w:sz w:val="22"/>
                <w:szCs w:val="22"/>
              </w:rPr>
              <w:t xml:space="preserve"> con observancia de los principios de eficacia, celeridad </w:t>
            </w:r>
            <w:r>
              <w:rPr>
                <w:rFonts w:ascii="Bookman Old Style" w:eastAsia="Bookman Old Style" w:hAnsi="Bookman Old Style" w:cs="Bookman Old Style"/>
                <w:color w:val="000000"/>
                <w:sz w:val="22"/>
                <w:szCs w:val="22"/>
              </w:rPr>
              <w:t>y enfoque territorial. </w:t>
            </w:r>
          </w:p>
          <w:p w:rsidR="00506B2D" w:rsidRDefault="00506B2D">
            <w:pPr>
              <w:spacing w:after="160"/>
              <w:jc w:val="both"/>
              <w:rPr>
                <w:rFonts w:ascii="Bookman Old Style" w:eastAsia="Bookman Old Style" w:hAnsi="Bookman Old Style" w:cs="Bookman Old Style"/>
                <w:sz w:val="22"/>
                <w:szCs w:val="22"/>
              </w:rPr>
            </w:pPr>
          </w:p>
          <w:p w:rsidR="00506B2D" w:rsidRDefault="00506B2D">
            <w:pPr>
              <w:rPr>
                <w:rFonts w:ascii="Bookman Old Style" w:eastAsia="Bookman Old Style" w:hAnsi="Bookman Old Style" w:cs="Bookman Old Style"/>
                <w:sz w:val="22"/>
                <w:szCs w:val="22"/>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06B2D" w:rsidRDefault="008C5B26">
            <w:pPr>
              <w:jc w:val="both"/>
              <w:rPr>
                <w:rFonts w:ascii="Bookman Old Style" w:eastAsia="Bookman Old Style" w:hAnsi="Bookman Old Style" w:cs="Bookman Old Style"/>
                <w:sz w:val="22"/>
                <w:szCs w:val="22"/>
              </w:rPr>
            </w:pPr>
            <w:r>
              <w:rPr>
                <w:rFonts w:ascii="Bookman Old Style" w:eastAsia="Bookman Old Style" w:hAnsi="Bookman Old Style" w:cs="Bookman Old Style"/>
                <w:b/>
                <w:color w:val="000000"/>
                <w:sz w:val="22"/>
                <w:szCs w:val="22"/>
              </w:rPr>
              <w:t>ARTÍCULO 3°. PRINCIPIOS.</w:t>
            </w:r>
            <w:r>
              <w:rPr>
                <w:rFonts w:ascii="Bookman Old Style" w:eastAsia="Bookman Old Style" w:hAnsi="Bookman Old Style" w:cs="Bookman Old Style"/>
                <w:color w:val="000000"/>
                <w:sz w:val="22"/>
                <w:szCs w:val="22"/>
              </w:rPr>
              <w:t xml:space="preserve"> El gobierno nacional a través de la Sociedad de Activos Especiales deberá atender la solicitud que realice el distrito para la transferencia a título gratuito de los bienes sobre los que se declare la extinción de dominio con observancia de los principios</w:t>
            </w:r>
            <w:r>
              <w:rPr>
                <w:rFonts w:ascii="Bookman Old Style" w:eastAsia="Bookman Old Style" w:hAnsi="Bookman Old Style" w:cs="Bookman Old Style"/>
                <w:color w:val="000000"/>
                <w:sz w:val="22"/>
                <w:szCs w:val="22"/>
              </w:rPr>
              <w:t xml:space="preserve"> de eficacia, celeridad y enfoque territorial. </w:t>
            </w:r>
          </w:p>
          <w:p w:rsidR="00506B2D" w:rsidRDefault="00506B2D">
            <w:pPr>
              <w:spacing w:after="160"/>
              <w:jc w:val="both"/>
              <w:rPr>
                <w:rFonts w:ascii="Bookman Old Style" w:eastAsia="Bookman Old Style" w:hAnsi="Bookman Old Style" w:cs="Bookman Old Style"/>
                <w:sz w:val="22"/>
                <w:szCs w:val="22"/>
              </w:rPr>
            </w:pPr>
          </w:p>
          <w:p w:rsidR="00506B2D" w:rsidRDefault="00506B2D">
            <w:pPr>
              <w:rPr>
                <w:rFonts w:ascii="Bookman Old Style" w:eastAsia="Bookman Old Style" w:hAnsi="Bookman Old Style" w:cs="Bookman Old Style"/>
                <w:sz w:val="22"/>
                <w:szCs w:val="22"/>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06B2D" w:rsidRDefault="008C5B26">
            <w:pPr>
              <w:jc w:val="both"/>
              <w:rPr>
                <w:rFonts w:ascii="Bookman Old Style" w:eastAsia="Bookman Old Style" w:hAnsi="Bookman Old Style" w:cs="Bookman Old Style"/>
                <w:sz w:val="22"/>
                <w:szCs w:val="22"/>
              </w:rPr>
            </w:pPr>
            <w:r>
              <w:rPr>
                <w:rFonts w:ascii="Bookman Old Style" w:eastAsia="Bookman Old Style" w:hAnsi="Bookman Old Style" w:cs="Bookman Old Style"/>
                <w:b/>
                <w:color w:val="000000"/>
                <w:sz w:val="22"/>
                <w:szCs w:val="22"/>
              </w:rPr>
              <w:t>Sin cambios.</w:t>
            </w:r>
          </w:p>
        </w:tc>
      </w:tr>
      <w:tr w:rsidR="00506B2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06B2D" w:rsidRDefault="008C5B26">
            <w:pPr>
              <w:jc w:val="both"/>
              <w:rPr>
                <w:rFonts w:ascii="Bookman Old Style" w:eastAsia="Bookman Old Style" w:hAnsi="Bookman Old Style" w:cs="Bookman Old Style"/>
                <w:sz w:val="22"/>
                <w:szCs w:val="22"/>
              </w:rPr>
            </w:pPr>
            <w:r>
              <w:rPr>
                <w:rFonts w:ascii="Bookman Old Style" w:eastAsia="Bookman Old Style" w:hAnsi="Bookman Old Style" w:cs="Bookman Old Style"/>
                <w:b/>
                <w:color w:val="000000"/>
                <w:sz w:val="22"/>
                <w:szCs w:val="22"/>
              </w:rPr>
              <w:t>ARTÍCULO 4°.</w:t>
            </w:r>
            <w:r>
              <w:rPr>
                <w:rFonts w:ascii="Bookman Old Style" w:eastAsia="Bookman Old Style" w:hAnsi="Bookman Old Style" w:cs="Bookman Old Style"/>
                <w:color w:val="000000"/>
                <w:sz w:val="22"/>
                <w:szCs w:val="22"/>
              </w:rPr>
              <w:t xml:space="preserve"> Los bienes inmuebles sobre los que se declare la extinción de dominio que sean transferidos </w:t>
            </w:r>
            <w:r>
              <w:rPr>
                <w:rFonts w:ascii="Bookman Old Style" w:eastAsia="Bookman Old Style" w:hAnsi="Bookman Old Style" w:cs="Bookman Old Style"/>
                <w:strike/>
                <w:color w:val="000000"/>
                <w:sz w:val="22"/>
                <w:szCs w:val="22"/>
              </w:rPr>
              <w:t>al Distrito de Santiago de Cali</w:t>
            </w:r>
            <w:r>
              <w:rPr>
                <w:rFonts w:ascii="Bookman Old Style" w:eastAsia="Bookman Old Style" w:hAnsi="Bookman Old Style" w:cs="Bookman Old Style"/>
                <w:color w:val="000000"/>
                <w:sz w:val="22"/>
                <w:szCs w:val="22"/>
              </w:rPr>
              <w:t xml:space="preserve"> con motivo de la presente ley no se imputarán a los por</w:t>
            </w:r>
            <w:r>
              <w:rPr>
                <w:rFonts w:ascii="Bookman Old Style" w:eastAsia="Bookman Old Style" w:hAnsi="Bookman Old Style" w:cs="Bookman Old Style"/>
                <w:color w:val="000000"/>
                <w:sz w:val="22"/>
                <w:szCs w:val="22"/>
              </w:rPr>
              <w:t>centajes específicos de destinación contemplados en el artículo 91 de la Ley 1708 de 2014 o de las que modifiquen o complementen.  </w:t>
            </w:r>
          </w:p>
          <w:p w:rsidR="00506B2D" w:rsidRDefault="008C5B26">
            <w:pPr>
              <w:jc w:val="both"/>
              <w:rPr>
                <w:rFonts w:ascii="Bookman Old Style" w:eastAsia="Bookman Old Style" w:hAnsi="Bookman Old Style" w:cs="Bookman Old Style"/>
                <w:sz w:val="22"/>
                <w:szCs w:val="22"/>
              </w:rPr>
            </w:pPr>
            <w:r>
              <w:rPr>
                <w:rFonts w:ascii="Bookman Old Style" w:eastAsia="Bookman Old Style" w:hAnsi="Bookman Old Style" w:cs="Bookman Old Style"/>
                <w:b/>
                <w:color w:val="000000"/>
                <w:sz w:val="22"/>
                <w:szCs w:val="22"/>
              </w:rPr>
              <w:t>Parágrafo.</w:t>
            </w:r>
            <w:r>
              <w:rPr>
                <w:rFonts w:ascii="Bookman Old Style" w:eastAsia="Bookman Old Style" w:hAnsi="Bookman Old Style" w:cs="Bookman Old Style"/>
                <w:color w:val="000000"/>
                <w:sz w:val="22"/>
                <w:szCs w:val="22"/>
              </w:rPr>
              <w:t xml:space="preserve"> La solicitud de la transferencia de los bienes inmuebles con extinción de dominio no será procedente sobre aquell</w:t>
            </w:r>
            <w:r>
              <w:rPr>
                <w:rFonts w:ascii="Bookman Old Style" w:eastAsia="Bookman Old Style" w:hAnsi="Bookman Old Style" w:cs="Bookman Old Style"/>
                <w:color w:val="000000"/>
                <w:sz w:val="22"/>
                <w:szCs w:val="22"/>
              </w:rPr>
              <w:t>os que tenga la destinación específica establecida en la Ley 1448 de 2011.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06B2D" w:rsidRDefault="008C5B26">
            <w:pPr>
              <w:jc w:val="both"/>
              <w:rPr>
                <w:rFonts w:ascii="Bookman Old Style" w:eastAsia="Bookman Old Style" w:hAnsi="Bookman Old Style" w:cs="Bookman Old Style"/>
                <w:sz w:val="22"/>
                <w:szCs w:val="22"/>
              </w:rPr>
            </w:pPr>
            <w:r>
              <w:rPr>
                <w:rFonts w:ascii="Bookman Old Style" w:eastAsia="Bookman Old Style" w:hAnsi="Bookman Old Style" w:cs="Bookman Old Style"/>
                <w:b/>
                <w:color w:val="000000"/>
                <w:sz w:val="22"/>
                <w:szCs w:val="22"/>
              </w:rPr>
              <w:t>ARTÍCULO 4°.</w:t>
            </w:r>
            <w:r>
              <w:rPr>
                <w:rFonts w:ascii="Bookman Old Style" w:eastAsia="Bookman Old Style" w:hAnsi="Bookman Old Style" w:cs="Bookman Old Style"/>
                <w:color w:val="000000"/>
                <w:sz w:val="22"/>
                <w:szCs w:val="22"/>
              </w:rPr>
              <w:t xml:space="preserve"> Los bienes inmuebles sobre los que se declare la extinción de dominio que sean transferidos </w:t>
            </w:r>
            <w:r>
              <w:rPr>
                <w:rFonts w:ascii="Bookman Old Style" w:eastAsia="Bookman Old Style" w:hAnsi="Bookman Old Style" w:cs="Bookman Old Style"/>
                <w:b/>
                <w:color w:val="000000"/>
                <w:sz w:val="22"/>
                <w:szCs w:val="22"/>
                <w:u w:val="single"/>
              </w:rPr>
              <w:t>a los municipios o distritos</w:t>
            </w:r>
            <w:r>
              <w:rPr>
                <w:rFonts w:ascii="Bookman Old Style" w:eastAsia="Bookman Old Style" w:hAnsi="Bookman Old Style" w:cs="Bookman Old Style"/>
                <w:color w:val="000000"/>
                <w:sz w:val="22"/>
                <w:szCs w:val="22"/>
              </w:rPr>
              <w:t>, con motivo de la presente ley, no se imputará</w:t>
            </w:r>
            <w:r>
              <w:rPr>
                <w:rFonts w:ascii="Bookman Old Style" w:eastAsia="Bookman Old Style" w:hAnsi="Bookman Old Style" w:cs="Bookman Old Style"/>
                <w:color w:val="000000"/>
                <w:sz w:val="22"/>
                <w:szCs w:val="22"/>
              </w:rPr>
              <w:t>n a los porcentajes específicos de destinación contemplados en el artículo 91 de la Ley 1708 de 2014 o de las que modifiquen o complementen.  </w:t>
            </w:r>
          </w:p>
          <w:p w:rsidR="00506B2D" w:rsidRDefault="008C5B26">
            <w:pPr>
              <w:jc w:val="both"/>
              <w:rPr>
                <w:rFonts w:ascii="Bookman Old Style" w:eastAsia="Bookman Old Style" w:hAnsi="Bookman Old Style" w:cs="Bookman Old Style"/>
                <w:b/>
                <w:color w:val="000000"/>
                <w:sz w:val="22"/>
                <w:szCs w:val="22"/>
              </w:rPr>
            </w:pPr>
            <w:r>
              <w:rPr>
                <w:rFonts w:ascii="Bookman Old Style" w:eastAsia="Bookman Old Style" w:hAnsi="Bookman Old Style" w:cs="Bookman Old Style"/>
                <w:b/>
                <w:color w:val="000000"/>
                <w:sz w:val="22"/>
                <w:szCs w:val="22"/>
              </w:rPr>
              <w:t>Parágrafo.</w:t>
            </w:r>
            <w:r>
              <w:rPr>
                <w:rFonts w:ascii="Bookman Old Style" w:eastAsia="Bookman Old Style" w:hAnsi="Bookman Old Style" w:cs="Bookman Old Style"/>
                <w:color w:val="000000"/>
                <w:sz w:val="22"/>
                <w:szCs w:val="22"/>
              </w:rPr>
              <w:t xml:space="preserve"> La solicitud de la transferencia de los bienes inmuebles con extinción de dominio no será procedente s</w:t>
            </w:r>
            <w:r>
              <w:rPr>
                <w:rFonts w:ascii="Bookman Old Style" w:eastAsia="Bookman Old Style" w:hAnsi="Bookman Old Style" w:cs="Bookman Old Style"/>
                <w:color w:val="000000"/>
                <w:sz w:val="22"/>
                <w:szCs w:val="22"/>
              </w:rPr>
              <w:t>obre aquellos que tenga la destinación específica establecida en la Ley 1448 de 2011.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06B2D" w:rsidRDefault="008C5B26">
            <w:pPr>
              <w:jc w:val="both"/>
              <w:rPr>
                <w:rFonts w:ascii="Bookman Old Style" w:eastAsia="Bookman Old Style" w:hAnsi="Bookman Old Style" w:cs="Bookman Old Style"/>
                <w:sz w:val="22"/>
                <w:szCs w:val="22"/>
              </w:rPr>
            </w:pPr>
            <w:r>
              <w:rPr>
                <w:rFonts w:ascii="Bookman Old Style" w:eastAsia="Bookman Old Style" w:hAnsi="Bookman Old Style" w:cs="Bookman Old Style"/>
                <w:b/>
                <w:color w:val="000000"/>
                <w:sz w:val="22"/>
                <w:szCs w:val="22"/>
              </w:rPr>
              <w:t>Se agrega en la redacción a los municipios y distritos. </w:t>
            </w:r>
          </w:p>
        </w:tc>
      </w:tr>
      <w:tr w:rsidR="00506B2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06B2D" w:rsidRDefault="008C5B26">
            <w:pPr>
              <w:jc w:val="both"/>
              <w:rPr>
                <w:rFonts w:ascii="Bookman Old Style" w:eastAsia="Bookman Old Style" w:hAnsi="Bookman Old Style" w:cs="Bookman Old Style"/>
                <w:sz w:val="22"/>
                <w:szCs w:val="22"/>
              </w:rPr>
            </w:pPr>
            <w:r>
              <w:rPr>
                <w:rFonts w:ascii="Bookman Old Style" w:eastAsia="Bookman Old Style" w:hAnsi="Bookman Old Style" w:cs="Bookman Old Style"/>
                <w:b/>
                <w:color w:val="000000"/>
                <w:sz w:val="22"/>
                <w:szCs w:val="22"/>
              </w:rPr>
              <w:t xml:space="preserve">ARTÍCULO </w:t>
            </w:r>
            <w:r>
              <w:rPr>
                <w:rFonts w:ascii="Bookman Old Style" w:eastAsia="Bookman Old Style" w:hAnsi="Bookman Old Style" w:cs="Bookman Old Style"/>
                <w:b/>
                <w:color w:val="000000"/>
                <w:sz w:val="22"/>
                <w:szCs w:val="22"/>
                <w:u w:val="single"/>
              </w:rPr>
              <w:t>5.</w:t>
            </w:r>
            <w:r>
              <w:rPr>
                <w:rFonts w:ascii="Bookman Old Style" w:eastAsia="Bookman Old Style" w:hAnsi="Bookman Old Style" w:cs="Bookman Old Style"/>
                <w:b/>
                <w:color w:val="000000"/>
                <w:sz w:val="22"/>
                <w:szCs w:val="22"/>
              </w:rPr>
              <w:t xml:space="preserve"> TÉRMINOS.</w:t>
            </w:r>
            <w:r>
              <w:rPr>
                <w:rFonts w:ascii="Bookman Old Style" w:eastAsia="Bookman Old Style" w:hAnsi="Bookman Old Style" w:cs="Bookman Old Style"/>
                <w:color w:val="000000"/>
                <w:sz w:val="22"/>
                <w:szCs w:val="22"/>
              </w:rPr>
              <w:t xml:space="preserve"> La solicitud de la entidad territorial deberá ser resuelta dentro de los treinta días háb</w:t>
            </w:r>
            <w:r>
              <w:rPr>
                <w:rFonts w:ascii="Bookman Old Style" w:eastAsia="Bookman Old Style" w:hAnsi="Bookman Old Style" w:cs="Bookman Old Style"/>
                <w:color w:val="000000"/>
                <w:sz w:val="22"/>
                <w:szCs w:val="22"/>
              </w:rPr>
              <w:t>iles siguientes a su presentación, de lo contrario operará el silencio administrativo positivo en favor de la entidad solicitante.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06B2D" w:rsidRDefault="008C5B26">
            <w:pPr>
              <w:jc w:val="both"/>
              <w:rPr>
                <w:rFonts w:ascii="Bookman Old Style" w:eastAsia="Bookman Old Style" w:hAnsi="Bookman Old Style" w:cs="Bookman Old Style"/>
                <w:sz w:val="22"/>
                <w:szCs w:val="22"/>
              </w:rPr>
            </w:pPr>
            <w:r>
              <w:rPr>
                <w:rFonts w:ascii="Bookman Old Style" w:eastAsia="Bookman Old Style" w:hAnsi="Bookman Old Style" w:cs="Bookman Old Style"/>
                <w:b/>
                <w:color w:val="000000"/>
                <w:sz w:val="22"/>
                <w:szCs w:val="22"/>
              </w:rPr>
              <w:t xml:space="preserve">ARTÍCULO </w:t>
            </w:r>
            <w:r>
              <w:rPr>
                <w:rFonts w:ascii="Bookman Old Style" w:eastAsia="Bookman Old Style" w:hAnsi="Bookman Old Style" w:cs="Bookman Old Style"/>
                <w:b/>
                <w:color w:val="000000"/>
                <w:sz w:val="22"/>
                <w:szCs w:val="22"/>
                <w:u w:val="single"/>
              </w:rPr>
              <w:t>5.</w:t>
            </w:r>
            <w:r>
              <w:rPr>
                <w:rFonts w:ascii="Bookman Old Style" w:eastAsia="Bookman Old Style" w:hAnsi="Bookman Old Style" w:cs="Bookman Old Style"/>
                <w:b/>
                <w:color w:val="000000"/>
                <w:sz w:val="22"/>
                <w:szCs w:val="22"/>
              </w:rPr>
              <w:t xml:space="preserve"> TÉRMINOS.</w:t>
            </w:r>
            <w:r>
              <w:rPr>
                <w:rFonts w:ascii="Bookman Old Style" w:eastAsia="Bookman Old Style" w:hAnsi="Bookman Old Style" w:cs="Bookman Old Style"/>
                <w:color w:val="000000"/>
                <w:sz w:val="22"/>
                <w:szCs w:val="22"/>
              </w:rPr>
              <w:t xml:space="preserve"> La solicitud de la entidad territorial deberá ser resuelta dentro de los treinta días hábiles siguiente</w:t>
            </w:r>
            <w:r>
              <w:rPr>
                <w:rFonts w:ascii="Bookman Old Style" w:eastAsia="Bookman Old Style" w:hAnsi="Bookman Old Style" w:cs="Bookman Old Style"/>
                <w:color w:val="000000"/>
                <w:sz w:val="22"/>
                <w:szCs w:val="22"/>
              </w:rPr>
              <w:t>s a su presentación, de lo contrario operará el silencio administrativo positivo en favor de la entidad solicitante.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06B2D" w:rsidRDefault="008C5B26">
            <w:pPr>
              <w:jc w:val="both"/>
              <w:rPr>
                <w:rFonts w:ascii="Bookman Old Style" w:eastAsia="Bookman Old Style" w:hAnsi="Bookman Old Style" w:cs="Bookman Old Style"/>
                <w:sz w:val="22"/>
                <w:szCs w:val="22"/>
              </w:rPr>
            </w:pPr>
            <w:r>
              <w:rPr>
                <w:rFonts w:ascii="Bookman Old Style" w:eastAsia="Bookman Old Style" w:hAnsi="Bookman Old Style" w:cs="Bookman Old Style"/>
                <w:b/>
                <w:color w:val="000000"/>
                <w:sz w:val="22"/>
                <w:szCs w:val="22"/>
              </w:rPr>
              <w:t>Sin modificación. </w:t>
            </w:r>
          </w:p>
        </w:tc>
      </w:tr>
      <w:tr w:rsidR="00506B2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06B2D" w:rsidRDefault="008C5B26">
            <w:pPr>
              <w:jc w:val="both"/>
              <w:rPr>
                <w:rFonts w:ascii="Bookman Old Style" w:eastAsia="Bookman Old Style" w:hAnsi="Bookman Old Style" w:cs="Bookman Old Style"/>
                <w:sz w:val="22"/>
                <w:szCs w:val="22"/>
              </w:rPr>
            </w:pPr>
            <w:r>
              <w:rPr>
                <w:rFonts w:ascii="Bookman Old Style" w:eastAsia="Bookman Old Style" w:hAnsi="Bookman Old Style" w:cs="Bookman Old Style"/>
                <w:b/>
                <w:strike/>
                <w:color w:val="000000"/>
                <w:sz w:val="22"/>
                <w:szCs w:val="22"/>
              </w:rPr>
              <w:t>ARTÍCULO NUEVO</w:t>
            </w:r>
            <w:r>
              <w:rPr>
                <w:rFonts w:ascii="Bookman Old Style" w:eastAsia="Bookman Old Style" w:hAnsi="Bookman Old Style" w:cs="Bookman Old Style"/>
                <w:strike/>
                <w:color w:val="000000"/>
                <w:sz w:val="22"/>
                <w:szCs w:val="22"/>
              </w:rPr>
              <w:t>. Adiciónese un parágrafo transitorio al artículo 91 de la Ley 1708 de 2014 “Por la cual se expide el Código Nacional de Extinción de Dominio” modificada por el artículo 22 de la Ley 1849 de 2017, el cual quedará así:</w:t>
            </w:r>
          </w:p>
          <w:p w:rsidR="00506B2D" w:rsidRDefault="008C5B26">
            <w:pPr>
              <w:jc w:val="both"/>
              <w:rPr>
                <w:rFonts w:ascii="Bookman Old Style" w:eastAsia="Bookman Old Style" w:hAnsi="Bookman Old Style" w:cs="Bookman Old Style"/>
                <w:sz w:val="22"/>
                <w:szCs w:val="22"/>
              </w:rPr>
            </w:pPr>
            <w:r>
              <w:rPr>
                <w:rFonts w:ascii="Bookman Old Style" w:eastAsia="Bookman Old Style" w:hAnsi="Bookman Old Style" w:cs="Bookman Old Style"/>
                <w:strike/>
                <w:color w:val="000000"/>
                <w:sz w:val="22"/>
                <w:szCs w:val="22"/>
              </w:rPr>
              <w:t>“Parágrafo Transitorio: A partir del m</w:t>
            </w:r>
            <w:r>
              <w:rPr>
                <w:rFonts w:ascii="Bookman Old Style" w:eastAsia="Bookman Old Style" w:hAnsi="Bookman Old Style" w:cs="Bookman Old Style"/>
                <w:strike/>
                <w:color w:val="000000"/>
                <w:sz w:val="22"/>
                <w:szCs w:val="22"/>
              </w:rPr>
              <w:t>omento en que las autoridades competentes declaren la extinción de dominio de las acciones tipo C correspondientes al 82.16% en la Sociedad Triple A E.S.P., estas serán transferidas a título gratuito al Distrito Especial, Industrial y Portuario de Barranqu</w:t>
            </w:r>
            <w:r>
              <w:rPr>
                <w:rFonts w:ascii="Bookman Old Style" w:eastAsia="Bookman Old Style" w:hAnsi="Bookman Old Style" w:cs="Bookman Old Style"/>
                <w:strike/>
                <w:color w:val="000000"/>
                <w:sz w:val="22"/>
                <w:szCs w:val="22"/>
              </w:rPr>
              <w:t>illa. A esta transferencia no se imputarán a los porcentajes específicos de destinación contemplados en el artículo 91 de la Ley 1708 de 2014 o de las que modifiquen o complementen.”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06B2D" w:rsidRDefault="008C5B26">
            <w:pPr>
              <w:widowControl w:val="0"/>
              <w:spacing w:after="280" w:line="276" w:lineRule="auto"/>
              <w:jc w:val="both"/>
              <w:rPr>
                <w:rFonts w:ascii="Bookman Old Style" w:eastAsia="Bookman Old Style" w:hAnsi="Bookman Old Style" w:cs="Bookman Old Style"/>
                <w:b/>
                <w:sz w:val="22"/>
                <w:szCs w:val="22"/>
                <w:u w:val="single"/>
              </w:rPr>
            </w:pPr>
            <w:r>
              <w:rPr>
                <w:rFonts w:ascii="Bookman Old Style" w:eastAsia="Bookman Old Style" w:hAnsi="Bookman Old Style" w:cs="Bookman Old Style"/>
                <w:b/>
                <w:sz w:val="22"/>
                <w:szCs w:val="22"/>
                <w:u w:val="single"/>
              </w:rPr>
              <w:t>ARTÍCULO NUEVO. ARTÍCULO 6°. Las entidades territoriales podrán solicitar excepcionalmente la transferencia de bienes muebles a título gratuito, cuando esta solicitud se relacione con el cumplimiento de proyectos establecidos en el plan de desarrollo munic</w:t>
            </w:r>
            <w:r>
              <w:rPr>
                <w:rFonts w:ascii="Bookman Old Style" w:eastAsia="Bookman Old Style" w:hAnsi="Bookman Old Style" w:cs="Bookman Old Style"/>
                <w:b/>
                <w:sz w:val="22"/>
                <w:szCs w:val="22"/>
                <w:u w:val="single"/>
              </w:rPr>
              <w:t xml:space="preserve">ipal o distrital. </w:t>
            </w:r>
          </w:p>
          <w:p w:rsidR="00506B2D" w:rsidRDefault="008C5B26">
            <w:pPr>
              <w:widowControl w:val="0"/>
              <w:spacing w:after="280" w:line="276" w:lineRule="auto"/>
              <w:jc w:val="both"/>
              <w:rPr>
                <w:rFonts w:ascii="Bookman Old Style" w:eastAsia="Bookman Old Style" w:hAnsi="Bookman Old Style" w:cs="Bookman Old Style"/>
                <w:b/>
                <w:sz w:val="22"/>
                <w:szCs w:val="22"/>
                <w:u w:val="single"/>
              </w:rPr>
            </w:pPr>
            <w:r>
              <w:rPr>
                <w:rFonts w:ascii="Bookman Old Style" w:eastAsia="Bookman Old Style" w:hAnsi="Bookman Old Style" w:cs="Bookman Old Style"/>
                <w:b/>
                <w:sz w:val="22"/>
                <w:szCs w:val="22"/>
                <w:u w:val="single"/>
              </w:rPr>
              <w:t xml:space="preserve">La solicitud de transferencia atenderá las reglas fijadas en el artículo segundo de la presente Ley. </w:t>
            </w:r>
          </w:p>
          <w:p w:rsidR="00506B2D" w:rsidRDefault="008C5B26">
            <w:pPr>
              <w:widowControl w:val="0"/>
              <w:spacing w:after="280" w:line="276" w:lineRule="auto"/>
              <w:jc w:val="both"/>
              <w:rPr>
                <w:rFonts w:ascii="Bookman Old Style" w:eastAsia="Bookman Old Style" w:hAnsi="Bookman Old Style" w:cs="Bookman Old Style"/>
                <w:b/>
                <w:sz w:val="22"/>
                <w:szCs w:val="22"/>
                <w:u w:val="single"/>
              </w:rPr>
            </w:pPr>
            <w:r>
              <w:rPr>
                <w:rFonts w:ascii="Bookman Old Style" w:eastAsia="Bookman Old Style" w:hAnsi="Bookman Old Style" w:cs="Bookman Old Style"/>
                <w:b/>
                <w:sz w:val="22"/>
                <w:szCs w:val="22"/>
                <w:u w:val="single"/>
              </w:rPr>
              <w:t xml:space="preserve">Parágrafo. Para la presentación de la solicitud, el alcalde deberá presentar al concejo municipal o distrital un estudio técnico en el </w:t>
            </w:r>
            <w:r>
              <w:rPr>
                <w:rFonts w:ascii="Bookman Old Style" w:eastAsia="Bookman Old Style" w:hAnsi="Bookman Old Style" w:cs="Bookman Old Style"/>
                <w:b/>
                <w:sz w:val="22"/>
                <w:szCs w:val="22"/>
                <w:u w:val="single"/>
              </w:rPr>
              <w:t>cual se explique la pertinencia y necesidad de estos bienes para el cumplimiento del plan de desarrollo.</w:t>
            </w:r>
          </w:p>
          <w:p w:rsidR="00506B2D" w:rsidRDefault="00506B2D">
            <w:pPr>
              <w:widowControl w:val="0"/>
              <w:spacing w:after="280" w:line="276" w:lineRule="auto"/>
              <w:jc w:val="both"/>
              <w:rPr>
                <w:rFonts w:ascii="Bookman Old Style" w:eastAsia="Bookman Old Style" w:hAnsi="Bookman Old Style" w:cs="Bookman Old Style"/>
                <w:b/>
                <w:sz w:val="22"/>
                <w:szCs w:val="22"/>
              </w:rPr>
            </w:pPr>
          </w:p>
          <w:p w:rsidR="00506B2D" w:rsidRDefault="00506B2D">
            <w:pPr>
              <w:widowControl w:val="0"/>
              <w:spacing w:after="280" w:line="276" w:lineRule="auto"/>
              <w:jc w:val="both"/>
              <w:rPr>
                <w:rFonts w:ascii="Bookman Old Style" w:eastAsia="Bookman Old Style" w:hAnsi="Bookman Old Style" w:cs="Bookman Old Style"/>
                <w:b/>
                <w:sz w:val="22"/>
                <w:szCs w:val="22"/>
              </w:rPr>
            </w:pPr>
          </w:p>
          <w:p w:rsidR="00506B2D" w:rsidRDefault="00506B2D">
            <w:pPr>
              <w:widowControl w:val="0"/>
              <w:spacing w:after="280" w:line="276" w:lineRule="auto"/>
              <w:jc w:val="both"/>
              <w:rPr>
                <w:rFonts w:ascii="Bookman Old Style" w:eastAsia="Bookman Old Style" w:hAnsi="Bookman Old Style" w:cs="Bookman Old Style"/>
                <w:sz w:val="22"/>
                <w:szCs w:val="22"/>
              </w:rPr>
            </w:pPr>
          </w:p>
          <w:p w:rsidR="00506B2D" w:rsidRDefault="00506B2D">
            <w:pPr>
              <w:jc w:val="both"/>
              <w:rPr>
                <w:rFonts w:ascii="Bookman Old Style" w:eastAsia="Bookman Old Style" w:hAnsi="Bookman Old Style" w:cs="Bookman Old Style"/>
                <w:sz w:val="22"/>
                <w:szCs w:val="22"/>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06B2D" w:rsidRDefault="008C5B26">
            <w:pPr>
              <w:jc w:val="both"/>
              <w:rPr>
                <w:rFonts w:ascii="Bookman Old Style" w:eastAsia="Bookman Old Style" w:hAnsi="Bookman Old Style" w:cs="Bookman Old Style"/>
                <w:sz w:val="22"/>
                <w:szCs w:val="22"/>
              </w:rPr>
            </w:pPr>
            <w:r>
              <w:rPr>
                <w:rFonts w:ascii="Bookman Old Style" w:eastAsia="Bookman Old Style" w:hAnsi="Bookman Old Style" w:cs="Bookman Old Style"/>
                <w:b/>
                <w:color w:val="000000"/>
                <w:sz w:val="22"/>
                <w:szCs w:val="22"/>
              </w:rPr>
              <w:t> Se amplía el al</w:t>
            </w:r>
            <w:r>
              <w:rPr>
                <w:rFonts w:ascii="Bookman Old Style" w:eastAsia="Bookman Old Style" w:hAnsi="Bookman Old Style" w:cs="Bookman Old Style"/>
                <w:b/>
                <w:sz w:val="22"/>
                <w:szCs w:val="22"/>
              </w:rPr>
              <w:t xml:space="preserve">cance de la proposición para permitir la posibilidad a otros entes territoriales. </w:t>
            </w:r>
          </w:p>
        </w:tc>
      </w:tr>
      <w:tr w:rsidR="00506B2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06B2D" w:rsidRDefault="008C5B26">
            <w:pPr>
              <w:spacing w:after="160"/>
              <w:jc w:val="both"/>
              <w:rPr>
                <w:rFonts w:ascii="Bookman Old Style" w:eastAsia="Bookman Old Style" w:hAnsi="Bookman Old Style" w:cs="Bookman Old Style"/>
                <w:sz w:val="22"/>
                <w:szCs w:val="22"/>
              </w:rPr>
            </w:pPr>
            <w:r>
              <w:rPr>
                <w:rFonts w:ascii="Bookman Old Style" w:eastAsia="Bookman Old Style" w:hAnsi="Bookman Old Style" w:cs="Bookman Old Style"/>
                <w:b/>
                <w:color w:val="000000"/>
                <w:sz w:val="22"/>
                <w:szCs w:val="22"/>
              </w:rPr>
              <w:t>ARTÍCULO 6°. VIGENCIA</w:t>
            </w:r>
            <w:r>
              <w:rPr>
                <w:rFonts w:ascii="Bookman Old Style" w:eastAsia="Bookman Old Style" w:hAnsi="Bookman Old Style" w:cs="Bookman Old Style"/>
                <w:color w:val="000000"/>
                <w:sz w:val="22"/>
                <w:szCs w:val="22"/>
              </w:rPr>
              <w:t>. La presente ley rige a p</w:t>
            </w:r>
            <w:r>
              <w:rPr>
                <w:rFonts w:ascii="Bookman Old Style" w:eastAsia="Bookman Old Style" w:hAnsi="Bookman Old Style" w:cs="Bookman Old Style"/>
                <w:color w:val="000000"/>
                <w:sz w:val="22"/>
                <w:szCs w:val="22"/>
              </w:rPr>
              <w:t>artir de la fecha de su publicación y deroga las disposiciones que le sean contrarias. </w:t>
            </w:r>
          </w:p>
          <w:p w:rsidR="00506B2D" w:rsidRDefault="00506B2D">
            <w:pPr>
              <w:rPr>
                <w:rFonts w:ascii="Bookman Old Style" w:eastAsia="Bookman Old Style" w:hAnsi="Bookman Old Style" w:cs="Bookman Old Style"/>
                <w:sz w:val="22"/>
                <w:szCs w:val="22"/>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06B2D" w:rsidRDefault="008C5B26">
            <w:pPr>
              <w:spacing w:after="160"/>
              <w:jc w:val="both"/>
              <w:rPr>
                <w:rFonts w:ascii="Bookman Old Style" w:eastAsia="Bookman Old Style" w:hAnsi="Bookman Old Style" w:cs="Bookman Old Style"/>
                <w:sz w:val="22"/>
                <w:szCs w:val="22"/>
              </w:rPr>
            </w:pPr>
            <w:r>
              <w:rPr>
                <w:rFonts w:ascii="Bookman Old Style" w:eastAsia="Bookman Old Style" w:hAnsi="Bookman Old Style" w:cs="Bookman Old Style"/>
                <w:b/>
                <w:color w:val="000000"/>
                <w:sz w:val="22"/>
                <w:szCs w:val="22"/>
              </w:rPr>
              <w:t xml:space="preserve">ARTÍCULO </w:t>
            </w:r>
            <w:r>
              <w:rPr>
                <w:rFonts w:ascii="Bookman Old Style" w:eastAsia="Bookman Old Style" w:hAnsi="Bookman Old Style" w:cs="Bookman Old Style"/>
                <w:b/>
                <w:sz w:val="22"/>
                <w:szCs w:val="22"/>
              </w:rPr>
              <w:t>7</w:t>
            </w:r>
            <w:r>
              <w:rPr>
                <w:rFonts w:ascii="Bookman Old Style" w:eastAsia="Bookman Old Style" w:hAnsi="Bookman Old Style" w:cs="Bookman Old Style"/>
                <w:b/>
                <w:color w:val="000000"/>
                <w:sz w:val="22"/>
                <w:szCs w:val="22"/>
              </w:rPr>
              <w:t>°. VIGENCIA</w:t>
            </w:r>
            <w:r>
              <w:rPr>
                <w:rFonts w:ascii="Bookman Old Style" w:eastAsia="Bookman Old Style" w:hAnsi="Bookman Old Style" w:cs="Bookman Old Style"/>
                <w:color w:val="000000"/>
                <w:sz w:val="22"/>
                <w:szCs w:val="22"/>
              </w:rPr>
              <w:t>. La presente ley rige a partir de la fecha de su publicación y deroga las disposiciones que le sean contrarias. </w:t>
            </w:r>
          </w:p>
          <w:p w:rsidR="00506B2D" w:rsidRDefault="00506B2D">
            <w:pPr>
              <w:rPr>
                <w:rFonts w:ascii="Bookman Old Style" w:eastAsia="Bookman Old Style" w:hAnsi="Bookman Old Style" w:cs="Bookman Old Style"/>
                <w:sz w:val="22"/>
                <w:szCs w:val="22"/>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06B2D" w:rsidRDefault="008C5B26">
            <w:pPr>
              <w:spacing w:after="160"/>
              <w:jc w:val="both"/>
              <w:rPr>
                <w:rFonts w:ascii="Bookman Old Style" w:eastAsia="Bookman Old Style" w:hAnsi="Bookman Old Style" w:cs="Bookman Old Style"/>
                <w:sz w:val="22"/>
                <w:szCs w:val="22"/>
              </w:rPr>
            </w:pPr>
            <w:r>
              <w:rPr>
                <w:rFonts w:ascii="Bookman Old Style" w:eastAsia="Bookman Old Style" w:hAnsi="Bookman Old Style" w:cs="Bookman Old Style"/>
                <w:b/>
                <w:color w:val="000000"/>
                <w:sz w:val="22"/>
                <w:szCs w:val="22"/>
              </w:rPr>
              <w:t>Sin modificación. </w:t>
            </w:r>
          </w:p>
        </w:tc>
      </w:tr>
    </w:tbl>
    <w:p w:rsidR="00506B2D" w:rsidRDefault="00506B2D">
      <w:pPr>
        <w:pBdr>
          <w:top w:val="nil"/>
          <w:left w:val="nil"/>
          <w:bottom w:val="nil"/>
          <w:right w:val="nil"/>
          <w:between w:val="nil"/>
        </w:pBdr>
        <w:spacing w:after="160" w:line="360" w:lineRule="auto"/>
        <w:rPr>
          <w:rFonts w:ascii="Bookman Old Style" w:eastAsia="Bookman Old Style" w:hAnsi="Bookman Old Style" w:cs="Bookman Old Style"/>
          <w:color w:val="000000"/>
          <w:sz w:val="22"/>
          <w:szCs w:val="22"/>
        </w:rPr>
      </w:pPr>
    </w:p>
    <w:p w:rsidR="00506B2D" w:rsidRDefault="008C5B26">
      <w:pPr>
        <w:numPr>
          <w:ilvl w:val="0"/>
          <w:numId w:val="3"/>
        </w:numPr>
        <w:pBdr>
          <w:top w:val="nil"/>
          <w:left w:val="nil"/>
          <w:bottom w:val="nil"/>
          <w:right w:val="nil"/>
          <w:between w:val="nil"/>
        </w:pBdr>
        <w:spacing w:after="160" w:line="360" w:lineRule="auto"/>
        <w:ind w:left="0" w:firstLine="0"/>
        <w:rPr>
          <w:rFonts w:ascii="Bookman Old Style" w:eastAsia="Bookman Old Style" w:hAnsi="Bookman Old Style" w:cs="Bookman Old Style"/>
          <w:color w:val="000000"/>
          <w:sz w:val="22"/>
          <w:szCs w:val="22"/>
        </w:rPr>
      </w:pPr>
      <w:r>
        <w:rPr>
          <w:rFonts w:ascii="Bookman Old Style" w:eastAsia="Bookman Old Style" w:hAnsi="Bookman Old Style" w:cs="Bookman Old Style"/>
          <w:b/>
          <w:color w:val="000000"/>
          <w:sz w:val="22"/>
          <w:szCs w:val="22"/>
        </w:rPr>
        <w:t xml:space="preserve">CONFLICTOS DE </w:t>
      </w:r>
      <w:r>
        <w:rPr>
          <w:rFonts w:ascii="Bookman Old Style" w:eastAsia="Bookman Old Style" w:hAnsi="Bookman Old Style" w:cs="Bookman Old Style"/>
          <w:b/>
          <w:sz w:val="22"/>
          <w:szCs w:val="22"/>
        </w:rPr>
        <w:t>INTERÉS</w:t>
      </w:r>
      <w:r>
        <w:rPr>
          <w:rFonts w:ascii="Bookman Old Style" w:eastAsia="Bookman Old Style" w:hAnsi="Bookman Old Style" w:cs="Bookman Old Style"/>
          <w:b/>
          <w:color w:val="000000"/>
          <w:sz w:val="22"/>
          <w:szCs w:val="22"/>
        </w:rPr>
        <w:t>.</w:t>
      </w:r>
    </w:p>
    <w:p w:rsidR="00506B2D" w:rsidRDefault="008C5B26">
      <w:pPr>
        <w:spacing w:line="360" w:lineRule="auto"/>
        <w:ind w:left="142"/>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Dando cumplimiento a lo establecido en el artículo 3 de la Ley 2003 del 19 de noviembre de 2019, por la cual se modifica parcialmente la Ley 5 de 1992, se hacen las siguientes consideraciones: </w:t>
      </w:r>
    </w:p>
    <w:p w:rsidR="00506B2D" w:rsidRDefault="00506B2D">
      <w:pPr>
        <w:spacing w:line="360" w:lineRule="auto"/>
        <w:ind w:left="142"/>
        <w:jc w:val="both"/>
        <w:rPr>
          <w:rFonts w:ascii="Bookman Old Style" w:eastAsia="Bookman Old Style" w:hAnsi="Bookman Old Style" w:cs="Bookman Old Style"/>
          <w:color w:val="000000"/>
          <w:sz w:val="22"/>
          <w:szCs w:val="22"/>
        </w:rPr>
      </w:pPr>
    </w:p>
    <w:p w:rsidR="00506B2D" w:rsidRDefault="008C5B26">
      <w:pPr>
        <w:spacing w:after="240" w:line="360" w:lineRule="auto"/>
        <w:ind w:left="142"/>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Se estima que de la discusión y aproba</w:t>
      </w:r>
      <w:r>
        <w:rPr>
          <w:rFonts w:ascii="Bookman Old Style" w:eastAsia="Bookman Old Style" w:hAnsi="Bookman Old Style" w:cs="Bookman Old Style"/>
          <w:color w:val="000000"/>
          <w:sz w:val="22"/>
          <w:szCs w:val="22"/>
        </w:rPr>
        <w:t>ción del presente Proyecto de Ley podría generarse un conflictos de interés en consideración al interés particular, actual y directo de los congresistas, de su cónyuge, compañero o compañera permanente, o parientes dentro del segundo grado de consanguinida</w:t>
      </w:r>
      <w:r>
        <w:rPr>
          <w:rFonts w:ascii="Bookman Old Style" w:eastAsia="Bookman Old Style" w:hAnsi="Bookman Old Style" w:cs="Bookman Old Style"/>
          <w:color w:val="000000"/>
          <w:sz w:val="22"/>
          <w:szCs w:val="22"/>
        </w:rPr>
        <w:t xml:space="preserve">d, segundo de afinidad o primero civil, procedente de haber realizado ofertas o participar en procesos para la adquisición de bienes inmuebles con extinción de dominio y que puedan beneficiarse con la aprobación o archivo del proyecto en mención. </w:t>
      </w:r>
    </w:p>
    <w:p w:rsidR="00506B2D" w:rsidRDefault="008C5B26">
      <w:pPr>
        <w:spacing w:after="240" w:line="360" w:lineRule="auto"/>
        <w:ind w:left="142"/>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De igual</w:t>
      </w:r>
      <w:r>
        <w:rPr>
          <w:rFonts w:ascii="Bookman Old Style" w:eastAsia="Bookman Old Style" w:hAnsi="Bookman Old Style" w:cs="Bookman Old Style"/>
          <w:color w:val="000000"/>
          <w:sz w:val="22"/>
          <w:szCs w:val="22"/>
        </w:rPr>
        <w:t xml:space="preserve"> forma podría constituirse un conflicto de interés por cuanto el interés particular, actual y directo de los congresistas, de su cónyuge, compañero o compañera permanente, o parientes dentro del segundo grado de consanguinidad, segundo de afinidad o primer</w:t>
      </w:r>
      <w:r>
        <w:rPr>
          <w:rFonts w:ascii="Bookman Old Style" w:eastAsia="Bookman Old Style" w:hAnsi="Bookman Old Style" w:cs="Bookman Old Style"/>
          <w:color w:val="000000"/>
          <w:sz w:val="22"/>
          <w:szCs w:val="22"/>
        </w:rPr>
        <w:t>o civil, de tener en curso procesos de extinción de dominio o enfrenten cargos por narcotráfico.</w:t>
      </w:r>
    </w:p>
    <w:p w:rsidR="00506B2D" w:rsidRDefault="008C5B26">
      <w:pPr>
        <w:spacing w:after="240" w:line="360" w:lineRule="auto"/>
        <w:ind w:left="142"/>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Sobre este asunto ha señalado el Consejo de Estado (2019):</w:t>
      </w:r>
    </w:p>
    <w:p w:rsidR="00506B2D" w:rsidRDefault="008C5B26">
      <w:pPr>
        <w:spacing w:line="360" w:lineRule="auto"/>
        <w:ind w:left="708"/>
        <w:jc w:val="both"/>
        <w:rPr>
          <w:rFonts w:ascii="Bookman Old Style" w:eastAsia="Bookman Old Style" w:hAnsi="Bookman Old Style" w:cs="Bookman Old Style"/>
          <w:i/>
          <w:color w:val="000000"/>
          <w:sz w:val="22"/>
          <w:szCs w:val="22"/>
        </w:rPr>
      </w:pPr>
      <w:r>
        <w:rPr>
          <w:rFonts w:ascii="Bookman Old Style" w:eastAsia="Bookman Old Style" w:hAnsi="Bookman Old Style" w:cs="Bookman Old Style"/>
          <w:i/>
          <w:color w:val="000000"/>
          <w:sz w:val="22"/>
          <w:szCs w:val="22"/>
        </w:rPr>
        <w:t>“No cualquier interés configura la causal de desinvestidura en comento, pues se sabe que sólo lo ser</w:t>
      </w:r>
      <w:r>
        <w:rPr>
          <w:rFonts w:ascii="Bookman Old Style" w:eastAsia="Bookman Old Style" w:hAnsi="Bookman Old Style" w:cs="Bookman Old Style"/>
          <w:i/>
          <w:color w:val="000000"/>
          <w:sz w:val="22"/>
          <w:szCs w:val="22"/>
        </w:rPr>
        <w:t>á aquél del que se pueda predicar que es directo, esto es, que per se le alegado beneficio, provecho o utilidad encuentre su fuente en el asunto que fue conocido por el legislador; particular, que el mismo sea específico o personal, bien para el congresist</w:t>
      </w:r>
      <w:r>
        <w:rPr>
          <w:rFonts w:ascii="Bookman Old Style" w:eastAsia="Bookman Old Style" w:hAnsi="Bookman Old Style" w:cs="Bookman Old Style"/>
          <w:i/>
          <w:color w:val="000000"/>
          <w:sz w:val="22"/>
          <w:szCs w:val="22"/>
        </w:rPr>
        <w:t>a o quienes se encuentren relacionados con él; y actual o inmediato, que concurra para el momento en que ocurrió la participación o votación del congresista, lo que excluye sucesos contingentes, futuros o imprevisibles. También se tiene noticia que el inte</w:t>
      </w:r>
      <w:r>
        <w:rPr>
          <w:rFonts w:ascii="Bookman Old Style" w:eastAsia="Bookman Old Style" w:hAnsi="Bookman Old Style" w:cs="Bookman Old Style"/>
          <w:i/>
          <w:color w:val="000000"/>
          <w:sz w:val="22"/>
          <w:szCs w:val="22"/>
        </w:rPr>
        <w:t>rés puede ser de cualquier naturaleza, esto es, económico o moral, sin distinción alguna”.</w:t>
      </w:r>
    </w:p>
    <w:p w:rsidR="00506B2D" w:rsidRDefault="00506B2D">
      <w:pPr>
        <w:spacing w:line="360" w:lineRule="auto"/>
        <w:ind w:left="142"/>
        <w:jc w:val="both"/>
        <w:rPr>
          <w:rFonts w:ascii="Bookman Old Style" w:eastAsia="Bookman Old Style" w:hAnsi="Bookman Old Style" w:cs="Bookman Old Style"/>
          <w:color w:val="000000"/>
          <w:sz w:val="22"/>
          <w:szCs w:val="22"/>
        </w:rPr>
      </w:pPr>
    </w:p>
    <w:p w:rsidR="00506B2D" w:rsidRDefault="008C5B26">
      <w:pPr>
        <w:spacing w:line="360" w:lineRule="auto"/>
        <w:ind w:left="142"/>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De igual forma, es pertinente señalar lo que la Ley 5 de 1992 dispone sobre la materia en el artículo 286, modificado por el artículo 1 de la Ley 2003 de 2019:</w:t>
      </w:r>
    </w:p>
    <w:p w:rsidR="00506B2D" w:rsidRDefault="00506B2D">
      <w:pPr>
        <w:spacing w:line="360" w:lineRule="auto"/>
        <w:ind w:left="142"/>
        <w:jc w:val="both"/>
        <w:rPr>
          <w:rFonts w:ascii="Bookman Old Style" w:eastAsia="Bookman Old Style" w:hAnsi="Bookman Old Style" w:cs="Bookman Old Style"/>
          <w:color w:val="000000"/>
          <w:sz w:val="22"/>
          <w:szCs w:val="22"/>
        </w:rPr>
      </w:pPr>
    </w:p>
    <w:p w:rsidR="00506B2D" w:rsidRDefault="008C5B26">
      <w:pPr>
        <w:spacing w:line="360" w:lineRule="auto"/>
        <w:ind w:left="708"/>
        <w:jc w:val="both"/>
        <w:rPr>
          <w:rFonts w:ascii="Bookman Old Style" w:eastAsia="Bookman Old Style" w:hAnsi="Bookman Old Style" w:cs="Bookman Old Style"/>
          <w:i/>
          <w:color w:val="000000"/>
          <w:sz w:val="22"/>
          <w:szCs w:val="22"/>
        </w:rPr>
      </w:pPr>
      <w:r>
        <w:rPr>
          <w:rFonts w:ascii="Bookman Old Style" w:eastAsia="Bookman Old Style" w:hAnsi="Bookman Old Style" w:cs="Bookman Old Style"/>
          <w:i/>
          <w:color w:val="000000"/>
          <w:sz w:val="22"/>
          <w:szCs w:val="22"/>
        </w:rPr>
        <w:t>“Se</w:t>
      </w:r>
      <w:r>
        <w:rPr>
          <w:rFonts w:ascii="Bookman Old Style" w:eastAsia="Bookman Old Style" w:hAnsi="Bookman Old Style" w:cs="Bookman Old Style"/>
          <w:i/>
          <w:color w:val="000000"/>
          <w:sz w:val="22"/>
          <w:szCs w:val="22"/>
        </w:rPr>
        <w:t xml:space="preserve"> entiende como conflicto de interés una situación donde la discusión o votación de un proyecto de ley o acto legislativo o artículo, pueda resultar en un beneficio particular, actual y directo a favor del congresista.</w:t>
      </w:r>
    </w:p>
    <w:p w:rsidR="00506B2D" w:rsidRDefault="008C5B26">
      <w:pPr>
        <w:spacing w:line="360" w:lineRule="auto"/>
        <w:ind w:left="708"/>
        <w:jc w:val="both"/>
        <w:rPr>
          <w:rFonts w:ascii="Bookman Old Style" w:eastAsia="Bookman Old Style" w:hAnsi="Bookman Old Style" w:cs="Bookman Old Style"/>
          <w:i/>
          <w:color w:val="000000"/>
          <w:sz w:val="22"/>
          <w:szCs w:val="22"/>
        </w:rPr>
      </w:pPr>
      <w:r>
        <w:rPr>
          <w:rFonts w:ascii="Bookman Old Style" w:eastAsia="Bookman Old Style" w:hAnsi="Bookman Old Style" w:cs="Bookman Old Style"/>
          <w:i/>
          <w:color w:val="000000"/>
          <w:sz w:val="22"/>
          <w:szCs w:val="22"/>
        </w:rPr>
        <w:t>a) Beneficio particular: aquel que otorga un privilegio o genera ganancias o crea indemnizaciones económicas o elimina obligaciones a favor del congresista de las que no gozan el resto de los ciudadanos. Modifique normas que afecten investigaciones penales</w:t>
      </w:r>
      <w:r>
        <w:rPr>
          <w:rFonts w:ascii="Bookman Old Style" w:eastAsia="Bookman Old Style" w:hAnsi="Bookman Old Style" w:cs="Bookman Old Style"/>
          <w:i/>
          <w:color w:val="000000"/>
          <w:sz w:val="22"/>
          <w:szCs w:val="22"/>
        </w:rPr>
        <w:t>, disciplinarias, fiscales o administrativas a las que se encuentre formalmente vinculado.</w:t>
      </w:r>
    </w:p>
    <w:p w:rsidR="00506B2D" w:rsidRDefault="008C5B26">
      <w:pPr>
        <w:spacing w:line="360" w:lineRule="auto"/>
        <w:ind w:left="708"/>
        <w:jc w:val="both"/>
        <w:rPr>
          <w:rFonts w:ascii="Bookman Old Style" w:eastAsia="Bookman Old Style" w:hAnsi="Bookman Old Style" w:cs="Bookman Old Style"/>
          <w:i/>
          <w:color w:val="000000"/>
          <w:sz w:val="22"/>
          <w:szCs w:val="22"/>
        </w:rPr>
      </w:pPr>
      <w:r>
        <w:rPr>
          <w:rFonts w:ascii="Bookman Old Style" w:eastAsia="Bookman Old Style" w:hAnsi="Bookman Old Style" w:cs="Bookman Old Style"/>
          <w:i/>
          <w:color w:val="000000"/>
          <w:sz w:val="22"/>
          <w:szCs w:val="22"/>
        </w:rPr>
        <w:t xml:space="preserve">b) Beneficio actual: aquel que efectivamente se configura en las circunstancias presentes y existentes al momento en el que el congresista participa de la decisión. </w:t>
      </w:r>
    </w:p>
    <w:p w:rsidR="00506B2D" w:rsidRDefault="008C5B26">
      <w:pPr>
        <w:spacing w:line="360" w:lineRule="auto"/>
        <w:ind w:left="708"/>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i/>
          <w:color w:val="000000"/>
          <w:sz w:val="22"/>
          <w:szCs w:val="22"/>
        </w:rPr>
        <w:t>c) Beneficio directo: aquel que se produzca de forma específica respecto del congresista, de su cónyuge, compañero o compañera permanente, o parientes dentro del segundo grado de consanguinidad, segundo de afinidad o primero civil.”</w:t>
      </w:r>
    </w:p>
    <w:p w:rsidR="00506B2D" w:rsidRDefault="00506B2D">
      <w:pPr>
        <w:spacing w:line="360" w:lineRule="auto"/>
        <w:ind w:left="142"/>
        <w:jc w:val="both"/>
        <w:rPr>
          <w:rFonts w:ascii="Bookman Old Style" w:eastAsia="Bookman Old Style" w:hAnsi="Bookman Old Style" w:cs="Bookman Old Style"/>
          <w:color w:val="000000"/>
          <w:sz w:val="22"/>
          <w:szCs w:val="22"/>
        </w:rPr>
      </w:pPr>
    </w:p>
    <w:p w:rsidR="00506B2D" w:rsidRDefault="008C5B26">
      <w:pPr>
        <w:spacing w:line="360" w:lineRule="auto"/>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Se recuerda que la de</w:t>
      </w:r>
      <w:r>
        <w:rPr>
          <w:rFonts w:ascii="Bookman Old Style" w:eastAsia="Bookman Old Style" w:hAnsi="Bookman Old Style" w:cs="Bookman Old Style"/>
          <w:color w:val="000000"/>
          <w:sz w:val="22"/>
          <w:szCs w:val="22"/>
        </w:rPr>
        <w:t>scripción de los posibles conflictos de interés que se puedan presentar frente al trámite del presente proyecto de ley, conforme a lo dispuesto en el artículo 291 de la ley 5 de 1992 modificado por la ley 2003 de 2019, no exime al Congresista de identifica</w:t>
      </w:r>
      <w:r>
        <w:rPr>
          <w:rFonts w:ascii="Bookman Old Style" w:eastAsia="Bookman Old Style" w:hAnsi="Bookman Old Style" w:cs="Bookman Old Style"/>
          <w:color w:val="000000"/>
          <w:sz w:val="22"/>
          <w:szCs w:val="22"/>
        </w:rPr>
        <w:t>r causales adicionales.</w:t>
      </w:r>
    </w:p>
    <w:p w:rsidR="00506B2D" w:rsidRDefault="00506B2D">
      <w:pPr>
        <w:spacing w:line="360" w:lineRule="auto"/>
        <w:jc w:val="both"/>
        <w:rPr>
          <w:rFonts w:ascii="Bookman Old Style" w:eastAsia="Bookman Old Style" w:hAnsi="Bookman Old Style" w:cs="Bookman Old Style"/>
          <w:b/>
          <w:sz w:val="22"/>
          <w:szCs w:val="22"/>
        </w:rPr>
      </w:pPr>
    </w:p>
    <w:p w:rsidR="00506B2D" w:rsidRDefault="008C5B26">
      <w:pPr>
        <w:numPr>
          <w:ilvl w:val="0"/>
          <w:numId w:val="3"/>
        </w:numPr>
        <w:pBdr>
          <w:top w:val="nil"/>
          <w:left w:val="nil"/>
          <w:bottom w:val="nil"/>
          <w:right w:val="nil"/>
          <w:between w:val="nil"/>
        </w:pBdr>
        <w:spacing w:after="160" w:line="360" w:lineRule="auto"/>
        <w:ind w:left="0" w:firstLine="0"/>
        <w:rPr>
          <w:rFonts w:ascii="Bookman Old Style" w:eastAsia="Bookman Old Style" w:hAnsi="Bookman Old Style" w:cs="Bookman Old Style"/>
          <w:sz w:val="22"/>
          <w:szCs w:val="22"/>
        </w:rPr>
      </w:pPr>
      <w:r>
        <w:rPr>
          <w:rFonts w:ascii="Bookman Old Style" w:eastAsia="Bookman Old Style" w:hAnsi="Bookman Old Style" w:cs="Bookman Old Style"/>
          <w:b/>
          <w:color w:val="000000"/>
          <w:sz w:val="22"/>
          <w:szCs w:val="22"/>
        </w:rPr>
        <w:t>PROPOSICIÓN</w:t>
      </w:r>
    </w:p>
    <w:p w:rsidR="00506B2D" w:rsidRDefault="008C5B26">
      <w:pPr>
        <w:spacing w:line="360" w:lineRule="auto"/>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Con fundamento en las anteriores consideraciones, presentamos ponencia positiva, con modificaciones al texto aprobado en primer debate y,  en consecuencia, solicitamos a los Honorables Representantes que integran la Ple</w:t>
      </w:r>
      <w:r>
        <w:rPr>
          <w:rFonts w:ascii="Bookman Old Style" w:eastAsia="Bookman Old Style" w:hAnsi="Bookman Old Style" w:cs="Bookman Old Style"/>
          <w:sz w:val="22"/>
          <w:szCs w:val="22"/>
        </w:rPr>
        <w:t>naria de la Cámara de Representantes, dar Segundo Debate al Proyecto de Ley Número 039 de 2020 Cámara “</w:t>
      </w:r>
      <w:r>
        <w:rPr>
          <w:rFonts w:ascii="Bookman Old Style" w:eastAsia="Bookman Old Style" w:hAnsi="Bookman Old Style" w:cs="Bookman Old Style"/>
          <w:i/>
          <w:sz w:val="22"/>
          <w:szCs w:val="22"/>
        </w:rPr>
        <w:t>Por medio del cual se adiciona un parágrafo al artículo 91 de la Ley 1708 de 2014 y se regula la transferencia a título gratuito de los bienes con extinc</w:t>
      </w:r>
      <w:r>
        <w:rPr>
          <w:rFonts w:ascii="Bookman Old Style" w:eastAsia="Bookman Old Style" w:hAnsi="Bookman Old Style" w:cs="Bookman Old Style"/>
          <w:i/>
          <w:sz w:val="22"/>
          <w:szCs w:val="22"/>
        </w:rPr>
        <w:t>ión de dominio ubicados en el Distrito Especial, Deportivo, Cultural, Turístico, Empresarial y de Servicios de Santiago de Cali”</w:t>
      </w:r>
    </w:p>
    <w:p w:rsidR="00506B2D" w:rsidRDefault="00506B2D">
      <w:pPr>
        <w:spacing w:line="360" w:lineRule="auto"/>
        <w:jc w:val="both"/>
        <w:rPr>
          <w:rFonts w:ascii="Bookman Old Style" w:eastAsia="Bookman Old Style" w:hAnsi="Bookman Old Style" w:cs="Bookman Old Style"/>
          <w:sz w:val="22"/>
          <w:szCs w:val="22"/>
        </w:rPr>
      </w:pPr>
    </w:p>
    <w:p w:rsidR="00506B2D" w:rsidRDefault="008C5B26">
      <w:pPr>
        <w:spacing w:line="360" w:lineRule="auto"/>
        <w:jc w:val="both"/>
        <w:rPr>
          <w:rFonts w:ascii="Bookman Old Style" w:eastAsia="Bookman Old Style" w:hAnsi="Bookman Old Style" w:cs="Bookman Old Style"/>
          <w:b/>
          <w:sz w:val="22"/>
          <w:szCs w:val="22"/>
        </w:rPr>
      </w:pPr>
      <w:r>
        <w:rPr>
          <w:rFonts w:ascii="Bookman Old Style" w:eastAsia="Bookman Old Style" w:hAnsi="Bookman Old Style" w:cs="Bookman Old Style"/>
          <w:sz w:val="22"/>
          <w:szCs w:val="22"/>
        </w:rPr>
        <w:t xml:space="preserve">De los honorables congresistas, </w:t>
      </w:r>
    </w:p>
    <w:tbl>
      <w:tblPr>
        <w:tblStyle w:val="a4"/>
        <w:tblW w:w="10038" w:type="dxa"/>
        <w:tblInd w:w="-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46"/>
        <w:gridCol w:w="4892"/>
      </w:tblGrid>
      <w:tr w:rsidR="00506B2D">
        <w:trPr>
          <w:trHeight w:val="1364"/>
        </w:trPr>
        <w:tc>
          <w:tcPr>
            <w:tcW w:w="0" w:type="auto"/>
            <w:tcMar>
              <w:top w:w="0" w:type="dxa"/>
              <w:bottom w:w="0" w:type="dxa"/>
            </w:tcMar>
          </w:tcPr>
          <w:p w:rsidR="00506B2D" w:rsidRDefault="00506B2D">
            <w:pPr>
              <w:spacing w:line="360" w:lineRule="auto"/>
              <w:jc w:val="both"/>
              <w:rPr>
                <w:rFonts w:ascii="Bookman Old Style" w:eastAsia="Bookman Old Style" w:hAnsi="Bookman Old Style" w:cs="Bookman Old Style"/>
                <w:b/>
                <w:sz w:val="22"/>
                <w:szCs w:val="22"/>
              </w:rPr>
            </w:pPr>
          </w:p>
          <w:p w:rsidR="00506B2D" w:rsidRDefault="00506B2D">
            <w:pPr>
              <w:spacing w:line="360" w:lineRule="auto"/>
              <w:jc w:val="both"/>
              <w:rPr>
                <w:rFonts w:ascii="Bookman Old Style" w:eastAsia="Bookman Old Style" w:hAnsi="Bookman Old Style" w:cs="Bookman Old Style"/>
                <w:b/>
                <w:sz w:val="22"/>
                <w:szCs w:val="22"/>
              </w:rPr>
            </w:pPr>
          </w:p>
          <w:p w:rsidR="00506B2D" w:rsidRDefault="00506B2D">
            <w:pPr>
              <w:spacing w:line="360" w:lineRule="auto"/>
              <w:ind w:left="42"/>
              <w:jc w:val="both"/>
              <w:rPr>
                <w:rFonts w:ascii="Bookman Old Style" w:eastAsia="Bookman Old Style" w:hAnsi="Bookman Old Style" w:cs="Bookman Old Style"/>
                <w:b/>
                <w:sz w:val="22"/>
                <w:szCs w:val="22"/>
              </w:rPr>
            </w:pPr>
          </w:p>
          <w:p w:rsidR="00506B2D" w:rsidRDefault="00506B2D">
            <w:pPr>
              <w:spacing w:line="360" w:lineRule="auto"/>
              <w:ind w:left="42"/>
              <w:jc w:val="both"/>
              <w:rPr>
                <w:rFonts w:ascii="Bookman Old Style" w:eastAsia="Bookman Old Style" w:hAnsi="Bookman Old Style" w:cs="Bookman Old Style"/>
                <w:b/>
                <w:sz w:val="22"/>
                <w:szCs w:val="22"/>
              </w:rPr>
            </w:pPr>
          </w:p>
          <w:p w:rsidR="00506B2D" w:rsidRDefault="008C5B26">
            <w:pPr>
              <w:ind w:left="42"/>
              <w:jc w:val="center"/>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JUAN FERNANDO REYES KURI</w:t>
            </w:r>
          </w:p>
          <w:p w:rsidR="00506B2D" w:rsidRDefault="008C5B26">
            <w:pPr>
              <w:ind w:left="42"/>
              <w:jc w:val="center"/>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Representante a la Cámara por el Valle del Cauca</w:t>
            </w:r>
          </w:p>
          <w:p w:rsidR="00506B2D" w:rsidRDefault="008C5B26">
            <w:pPr>
              <w:ind w:left="42"/>
              <w:jc w:val="center"/>
              <w:rPr>
                <w:rFonts w:ascii="Bookman Old Style" w:eastAsia="Bookman Old Style" w:hAnsi="Bookman Old Style" w:cs="Bookman Old Style"/>
                <w:b/>
                <w:sz w:val="22"/>
                <w:szCs w:val="22"/>
              </w:rPr>
            </w:pPr>
            <w:r>
              <w:rPr>
                <w:rFonts w:ascii="Bookman Old Style" w:eastAsia="Bookman Old Style" w:hAnsi="Bookman Old Style" w:cs="Bookman Old Style"/>
                <w:sz w:val="22"/>
                <w:szCs w:val="22"/>
              </w:rPr>
              <w:t>Partido Liberal</w:t>
            </w:r>
          </w:p>
        </w:tc>
        <w:tc>
          <w:tcPr>
            <w:tcW w:w="0" w:type="auto"/>
            <w:shd w:val="clear" w:color="auto" w:fill="auto"/>
            <w:tcMar>
              <w:top w:w="0" w:type="dxa"/>
              <w:bottom w:w="0" w:type="dxa"/>
            </w:tcMar>
          </w:tcPr>
          <w:p w:rsidR="00506B2D" w:rsidRDefault="00506B2D">
            <w:pPr>
              <w:spacing w:after="160" w:line="259" w:lineRule="auto"/>
              <w:rPr>
                <w:rFonts w:ascii="Bookman Old Style" w:eastAsia="Bookman Old Style" w:hAnsi="Bookman Old Style" w:cs="Bookman Old Style"/>
                <w:b/>
                <w:sz w:val="22"/>
                <w:szCs w:val="22"/>
              </w:rPr>
            </w:pPr>
          </w:p>
          <w:p w:rsidR="00506B2D" w:rsidRDefault="00506B2D">
            <w:pPr>
              <w:spacing w:after="160" w:line="259" w:lineRule="auto"/>
              <w:rPr>
                <w:rFonts w:ascii="Bookman Old Style" w:eastAsia="Bookman Old Style" w:hAnsi="Bookman Old Style" w:cs="Bookman Old Style"/>
                <w:b/>
                <w:sz w:val="22"/>
                <w:szCs w:val="22"/>
              </w:rPr>
            </w:pPr>
          </w:p>
          <w:p w:rsidR="00506B2D" w:rsidRDefault="00506B2D">
            <w:pPr>
              <w:spacing w:after="160" w:line="259" w:lineRule="auto"/>
              <w:rPr>
                <w:rFonts w:ascii="Bookman Old Style" w:eastAsia="Bookman Old Style" w:hAnsi="Bookman Old Style" w:cs="Bookman Old Style"/>
                <w:b/>
                <w:sz w:val="22"/>
                <w:szCs w:val="22"/>
              </w:rPr>
            </w:pPr>
          </w:p>
          <w:p w:rsidR="00506B2D" w:rsidRDefault="00506B2D">
            <w:pPr>
              <w:spacing w:line="259" w:lineRule="auto"/>
              <w:jc w:val="center"/>
              <w:rPr>
                <w:rFonts w:ascii="Bookman Old Style" w:eastAsia="Bookman Old Style" w:hAnsi="Bookman Old Style" w:cs="Bookman Old Style"/>
                <w:b/>
                <w:sz w:val="22"/>
                <w:szCs w:val="22"/>
              </w:rPr>
            </w:pPr>
          </w:p>
          <w:p w:rsidR="00506B2D" w:rsidRDefault="008C5B26">
            <w:pPr>
              <w:spacing w:line="259" w:lineRule="auto"/>
              <w:jc w:val="center"/>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 xml:space="preserve">JOHN JAIRO HOYOS GARCÍA </w:t>
            </w:r>
          </w:p>
          <w:p w:rsidR="00506B2D" w:rsidRDefault="008C5B26">
            <w:pPr>
              <w:spacing w:after="160" w:line="259" w:lineRule="auto"/>
              <w:jc w:val="center"/>
              <w:rPr>
                <w:rFonts w:ascii="Bookman Old Style" w:eastAsia="Bookman Old Style" w:hAnsi="Bookman Old Style" w:cs="Bookman Old Style"/>
                <w:b/>
                <w:sz w:val="22"/>
                <w:szCs w:val="22"/>
              </w:rPr>
            </w:pPr>
            <w:r>
              <w:rPr>
                <w:rFonts w:ascii="Bookman Old Style" w:eastAsia="Bookman Old Style" w:hAnsi="Bookman Old Style" w:cs="Bookman Old Style"/>
                <w:sz w:val="22"/>
                <w:szCs w:val="22"/>
              </w:rPr>
              <w:t>Representante a la Cámara por el Valle del Cauca</w:t>
            </w:r>
          </w:p>
        </w:tc>
      </w:tr>
      <w:tr w:rsidR="00506B2D">
        <w:trPr>
          <w:trHeight w:val="989"/>
        </w:trPr>
        <w:tc>
          <w:tcPr>
            <w:tcW w:w="0" w:type="auto"/>
            <w:tcMar>
              <w:top w:w="0" w:type="dxa"/>
              <w:bottom w:w="0" w:type="dxa"/>
            </w:tcMar>
          </w:tcPr>
          <w:p w:rsidR="00506B2D" w:rsidRDefault="008C5B26">
            <w:pPr>
              <w:spacing w:line="360" w:lineRule="auto"/>
              <w:ind w:left="4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br/>
            </w:r>
            <w:r>
              <w:rPr>
                <w:rFonts w:ascii="Bookman Old Style" w:eastAsia="Bookman Old Style" w:hAnsi="Bookman Old Style" w:cs="Bookman Old Style"/>
                <w:sz w:val="22"/>
                <w:szCs w:val="22"/>
              </w:rPr>
              <w:br/>
            </w:r>
          </w:p>
          <w:p w:rsidR="00506B2D" w:rsidRDefault="008C5B26">
            <w:pPr>
              <w:jc w:val="center"/>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LUIS ALBERTO ALBÁN URBANO</w:t>
            </w:r>
          </w:p>
          <w:p w:rsidR="00506B2D" w:rsidRDefault="008C5B26">
            <w:pPr>
              <w:ind w:left="42"/>
              <w:jc w:val="center"/>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Representante a la Cámara por el Valle del Cauca </w:t>
            </w:r>
          </w:p>
          <w:p w:rsidR="00506B2D" w:rsidRDefault="008C5B26">
            <w:pPr>
              <w:ind w:left="42"/>
              <w:jc w:val="center"/>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Fuerza Alternativa Revolucionaria del Común</w:t>
            </w:r>
          </w:p>
        </w:tc>
        <w:tc>
          <w:tcPr>
            <w:tcW w:w="0" w:type="auto"/>
            <w:shd w:val="clear" w:color="auto" w:fill="auto"/>
            <w:tcMar>
              <w:top w:w="0" w:type="dxa"/>
              <w:bottom w:w="0" w:type="dxa"/>
            </w:tcMar>
          </w:tcPr>
          <w:p w:rsidR="00506B2D" w:rsidRDefault="00506B2D">
            <w:pPr>
              <w:spacing w:after="160" w:line="259" w:lineRule="auto"/>
              <w:jc w:val="center"/>
              <w:rPr>
                <w:rFonts w:ascii="Bookman Old Style" w:eastAsia="Bookman Old Style" w:hAnsi="Bookman Old Style" w:cs="Bookman Old Style"/>
                <w:b/>
                <w:sz w:val="22"/>
                <w:szCs w:val="22"/>
              </w:rPr>
            </w:pPr>
          </w:p>
          <w:p w:rsidR="00506B2D" w:rsidRDefault="00506B2D">
            <w:pPr>
              <w:spacing w:after="160" w:line="259" w:lineRule="auto"/>
              <w:rPr>
                <w:rFonts w:ascii="Bookman Old Style" w:eastAsia="Bookman Old Style" w:hAnsi="Bookman Old Style" w:cs="Bookman Old Style"/>
                <w:b/>
                <w:sz w:val="22"/>
                <w:szCs w:val="22"/>
              </w:rPr>
            </w:pPr>
          </w:p>
          <w:p w:rsidR="00506B2D" w:rsidRDefault="00506B2D">
            <w:pPr>
              <w:jc w:val="center"/>
              <w:rPr>
                <w:rFonts w:ascii="Bookman Old Style" w:eastAsia="Bookman Old Style" w:hAnsi="Bookman Old Style" w:cs="Bookman Old Style"/>
                <w:b/>
                <w:sz w:val="22"/>
                <w:szCs w:val="22"/>
              </w:rPr>
            </w:pPr>
          </w:p>
          <w:p w:rsidR="00506B2D" w:rsidRDefault="008C5B26">
            <w:pPr>
              <w:jc w:val="center"/>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JUANITA GOEBERTUS ESTRADA</w:t>
            </w:r>
          </w:p>
          <w:p w:rsidR="00506B2D" w:rsidRDefault="008C5B26">
            <w:pPr>
              <w:jc w:val="center"/>
              <w:rPr>
                <w:rFonts w:ascii="Bookman Old Style" w:eastAsia="Bookman Old Style" w:hAnsi="Bookman Old Style" w:cs="Bookman Old Style"/>
                <w:b/>
                <w:sz w:val="22"/>
                <w:szCs w:val="22"/>
              </w:rPr>
            </w:pPr>
            <w:r>
              <w:rPr>
                <w:rFonts w:ascii="Bookman Old Style" w:eastAsia="Bookman Old Style" w:hAnsi="Bookman Old Style" w:cs="Bookman Old Style"/>
                <w:sz w:val="22"/>
                <w:szCs w:val="22"/>
              </w:rPr>
              <w:t xml:space="preserve">Representante a la Cámara por Bogotá D.C. </w:t>
            </w:r>
          </w:p>
        </w:tc>
      </w:tr>
      <w:tr w:rsidR="00506B2D">
        <w:trPr>
          <w:trHeight w:val="1112"/>
        </w:trPr>
        <w:tc>
          <w:tcPr>
            <w:tcW w:w="0" w:type="auto"/>
            <w:tcMar>
              <w:top w:w="0" w:type="dxa"/>
              <w:bottom w:w="0" w:type="dxa"/>
            </w:tcMar>
          </w:tcPr>
          <w:p w:rsidR="00506B2D" w:rsidRDefault="00506B2D">
            <w:pPr>
              <w:spacing w:before="240" w:after="240"/>
              <w:jc w:val="center"/>
              <w:rPr>
                <w:rFonts w:ascii="Bookman Old Style" w:eastAsia="Bookman Old Style" w:hAnsi="Bookman Old Style" w:cs="Bookman Old Style"/>
                <w:b/>
                <w:sz w:val="22"/>
                <w:szCs w:val="22"/>
              </w:rPr>
            </w:pPr>
          </w:p>
          <w:p w:rsidR="00506B2D" w:rsidRDefault="00506B2D">
            <w:pPr>
              <w:spacing w:before="240" w:after="240"/>
              <w:jc w:val="center"/>
              <w:rPr>
                <w:rFonts w:ascii="Bookman Old Style" w:eastAsia="Bookman Old Style" w:hAnsi="Bookman Old Style" w:cs="Bookman Old Style"/>
                <w:b/>
                <w:sz w:val="22"/>
                <w:szCs w:val="22"/>
              </w:rPr>
            </w:pPr>
          </w:p>
          <w:p w:rsidR="00506B2D" w:rsidRDefault="00506B2D">
            <w:pPr>
              <w:spacing w:before="240" w:after="240"/>
              <w:jc w:val="center"/>
              <w:rPr>
                <w:rFonts w:ascii="Bookman Old Style" w:eastAsia="Bookman Old Style" w:hAnsi="Bookman Old Style" w:cs="Bookman Old Style"/>
                <w:b/>
                <w:sz w:val="22"/>
                <w:szCs w:val="22"/>
              </w:rPr>
            </w:pPr>
          </w:p>
          <w:p w:rsidR="00506B2D" w:rsidRDefault="008C5B26">
            <w:pPr>
              <w:spacing w:line="360" w:lineRule="auto"/>
              <w:ind w:left="42"/>
              <w:jc w:val="center"/>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ÁNGELA MARÍA ROBLEDO GÓMEZ</w:t>
            </w:r>
          </w:p>
          <w:p w:rsidR="00506B2D" w:rsidRDefault="008C5B26">
            <w:pPr>
              <w:spacing w:line="360" w:lineRule="auto"/>
              <w:ind w:left="42"/>
              <w:jc w:val="center"/>
              <w:rPr>
                <w:rFonts w:ascii="Bookman Old Style" w:eastAsia="Bookman Old Style" w:hAnsi="Bookman Old Style" w:cs="Bookman Old Style"/>
                <w:b/>
                <w:sz w:val="22"/>
                <w:szCs w:val="22"/>
              </w:rPr>
            </w:pPr>
            <w:r>
              <w:rPr>
                <w:rFonts w:ascii="Bookman Old Style" w:eastAsia="Bookman Old Style" w:hAnsi="Bookman Old Style" w:cs="Bookman Old Style"/>
                <w:sz w:val="22"/>
                <w:szCs w:val="22"/>
              </w:rPr>
              <w:t>Representante a la Cámara</w:t>
            </w:r>
          </w:p>
        </w:tc>
        <w:tc>
          <w:tcPr>
            <w:tcW w:w="0" w:type="auto"/>
            <w:shd w:val="clear" w:color="auto" w:fill="auto"/>
            <w:tcMar>
              <w:top w:w="0" w:type="dxa"/>
              <w:bottom w:w="0" w:type="dxa"/>
            </w:tcMar>
          </w:tcPr>
          <w:p w:rsidR="00506B2D" w:rsidRDefault="00506B2D">
            <w:pPr>
              <w:spacing w:after="160" w:line="259" w:lineRule="auto"/>
              <w:rPr>
                <w:rFonts w:ascii="Bookman Old Style" w:eastAsia="Bookman Old Style" w:hAnsi="Bookman Old Style" w:cs="Bookman Old Style"/>
                <w:b/>
                <w:sz w:val="22"/>
                <w:szCs w:val="22"/>
              </w:rPr>
            </w:pPr>
          </w:p>
          <w:p w:rsidR="00506B2D" w:rsidRDefault="00506B2D">
            <w:pPr>
              <w:spacing w:after="160" w:line="259" w:lineRule="auto"/>
              <w:rPr>
                <w:rFonts w:ascii="Bookman Old Style" w:eastAsia="Bookman Old Style" w:hAnsi="Bookman Old Style" w:cs="Bookman Old Style"/>
                <w:b/>
                <w:sz w:val="22"/>
                <w:szCs w:val="22"/>
              </w:rPr>
            </w:pPr>
          </w:p>
          <w:p w:rsidR="00506B2D" w:rsidRDefault="00506B2D">
            <w:pPr>
              <w:spacing w:after="160" w:line="259" w:lineRule="auto"/>
              <w:rPr>
                <w:rFonts w:ascii="Bookman Old Style" w:eastAsia="Bookman Old Style" w:hAnsi="Bookman Old Style" w:cs="Bookman Old Style"/>
                <w:b/>
                <w:sz w:val="22"/>
                <w:szCs w:val="22"/>
              </w:rPr>
            </w:pPr>
          </w:p>
          <w:p w:rsidR="00506B2D" w:rsidRDefault="00506B2D">
            <w:pPr>
              <w:spacing w:after="160" w:line="259" w:lineRule="auto"/>
              <w:rPr>
                <w:rFonts w:ascii="Bookman Old Style" w:eastAsia="Bookman Old Style" w:hAnsi="Bookman Old Style" w:cs="Bookman Old Style"/>
                <w:b/>
                <w:sz w:val="22"/>
                <w:szCs w:val="22"/>
              </w:rPr>
            </w:pPr>
          </w:p>
          <w:p w:rsidR="00506B2D" w:rsidRDefault="008C5B26">
            <w:pPr>
              <w:spacing w:line="259" w:lineRule="auto"/>
              <w:jc w:val="center"/>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JOSE GUSTAVO PADILLA OROZCO</w:t>
            </w:r>
          </w:p>
          <w:p w:rsidR="00506B2D" w:rsidRDefault="008C5B26">
            <w:pPr>
              <w:spacing w:line="259" w:lineRule="auto"/>
              <w:jc w:val="center"/>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Representante a la Cámara</w:t>
            </w:r>
          </w:p>
          <w:p w:rsidR="00506B2D" w:rsidRDefault="008C5B26">
            <w:pPr>
              <w:spacing w:line="259" w:lineRule="auto"/>
              <w:jc w:val="center"/>
              <w:rPr>
                <w:rFonts w:ascii="Bookman Old Style" w:eastAsia="Bookman Old Style" w:hAnsi="Bookman Old Style" w:cs="Bookman Old Style"/>
                <w:b/>
                <w:sz w:val="22"/>
                <w:szCs w:val="22"/>
              </w:rPr>
            </w:pPr>
            <w:r>
              <w:rPr>
                <w:rFonts w:ascii="Bookman Old Style" w:eastAsia="Bookman Old Style" w:hAnsi="Bookman Old Style" w:cs="Bookman Old Style"/>
                <w:sz w:val="22"/>
                <w:szCs w:val="22"/>
              </w:rPr>
              <w:t>Valle del Cauca</w:t>
            </w:r>
          </w:p>
          <w:p w:rsidR="00506B2D" w:rsidRDefault="00506B2D">
            <w:pPr>
              <w:spacing w:after="160" w:line="259" w:lineRule="auto"/>
              <w:rPr>
                <w:rFonts w:ascii="Bookman Old Style" w:eastAsia="Bookman Old Style" w:hAnsi="Bookman Old Style" w:cs="Bookman Old Style"/>
                <w:b/>
                <w:sz w:val="22"/>
                <w:szCs w:val="22"/>
              </w:rPr>
            </w:pPr>
          </w:p>
        </w:tc>
      </w:tr>
      <w:tr w:rsidR="00506B2D">
        <w:trPr>
          <w:trHeight w:val="1112"/>
        </w:trPr>
        <w:tc>
          <w:tcPr>
            <w:tcW w:w="0" w:type="auto"/>
            <w:tcMar>
              <w:top w:w="0" w:type="dxa"/>
              <w:bottom w:w="0" w:type="dxa"/>
            </w:tcMar>
          </w:tcPr>
          <w:p w:rsidR="00506B2D" w:rsidRDefault="008C5B26">
            <w:pPr>
              <w:spacing w:before="240" w:after="240"/>
              <w:jc w:val="center"/>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 xml:space="preserve"> </w:t>
            </w:r>
          </w:p>
          <w:p w:rsidR="00506B2D" w:rsidRDefault="00506B2D">
            <w:pPr>
              <w:spacing w:before="240" w:after="240"/>
              <w:jc w:val="center"/>
              <w:rPr>
                <w:rFonts w:ascii="Bookman Old Style" w:eastAsia="Bookman Old Style" w:hAnsi="Bookman Old Style" w:cs="Bookman Old Style"/>
                <w:b/>
                <w:sz w:val="22"/>
                <w:szCs w:val="22"/>
              </w:rPr>
            </w:pPr>
          </w:p>
          <w:p w:rsidR="00506B2D" w:rsidRDefault="00506B2D">
            <w:pPr>
              <w:spacing w:before="240" w:after="240"/>
              <w:jc w:val="center"/>
              <w:rPr>
                <w:rFonts w:ascii="Bookman Old Style" w:eastAsia="Bookman Old Style" w:hAnsi="Bookman Old Style" w:cs="Bookman Old Style"/>
                <w:b/>
                <w:sz w:val="22"/>
                <w:szCs w:val="22"/>
              </w:rPr>
            </w:pPr>
          </w:p>
          <w:p w:rsidR="00506B2D" w:rsidRDefault="008C5B26">
            <w:pPr>
              <w:jc w:val="center"/>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ERWIN ARIAS BETANCUR</w:t>
            </w:r>
          </w:p>
          <w:p w:rsidR="00506B2D" w:rsidRDefault="008C5B26">
            <w:pPr>
              <w:jc w:val="center"/>
              <w:rPr>
                <w:rFonts w:ascii="Bookman Old Style" w:eastAsia="Bookman Old Style" w:hAnsi="Bookman Old Style" w:cs="Bookman Old Style"/>
                <w:b/>
                <w:sz w:val="22"/>
                <w:szCs w:val="22"/>
              </w:rPr>
            </w:pPr>
            <w:r>
              <w:rPr>
                <w:rFonts w:ascii="Bookman Old Style" w:eastAsia="Bookman Old Style" w:hAnsi="Bookman Old Style" w:cs="Bookman Old Style"/>
                <w:sz w:val="22"/>
                <w:szCs w:val="22"/>
              </w:rPr>
              <w:t>Representante del Departamento de Caldas</w:t>
            </w:r>
            <w:r>
              <w:rPr>
                <w:rFonts w:ascii="Bookman Old Style" w:eastAsia="Bookman Old Style" w:hAnsi="Bookman Old Style" w:cs="Bookman Old Style"/>
                <w:b/>
                <w:sz w:val="22"/>
                <w:szCs w:val="22"/>
              </w:rPr>
              <w:t>.</w:t>
            </w:r>
          </w:p>
          <w:p w:rsidR="00506B2D" w:rsidRDefault="00506B2D">
            <w:pPr>
              <w:spacing w:before="240" w:after="240"/>
              <w:jc w:val="both"/>
              <w:rPr>
                <w:rFonts w:ascii="Bookman Old Style" w:eastAsia="Bookman Old Style" w:hAnsi="Bookman Old Style" w:cs="Bookman Old Style"/>
                <w:b/>
                <w:sz w:val="22"/>
                <w:szCs w:val="22"/>
              </w:rPr>
            </w:pPr>
          </w:p>
        </w:tc>
        <w:tc>
          <w:tcPr>
            <w:tcW w:w="0" w:type="auto"/>
            <w:shd w:val="clear" w:color="auto" w:fill="auto"/>
            <w:tcMar>
              <w:top w:w="0" w:type="dxa"/>
              <w:bottom w:w="0" w:type="dxa"/>
            </w:tcMar>
          </w:tcPr>
          <w:p w:rsidR="00506B2D" w:rsidRDefault="00506B2D">
            <w:pPr>
              <w:spacing w:after="160" w:line="259" w:lineRule="auto"/>
              <w:rPr>
                <w:rFonts w:ascii="Bookman Old Style" w:eastAsia="Bookman Old Style" w:hAnsi="Bookman Old Style" w:cs="Bookman Old Style"/>
                <w:b/>
                <w:sz w:val="22"/>
                <w:szCs w:val="22"/>
              </w:rPr>
            </w:pPr>
          </w:p>
          <w:p w:rsidR="00506B2D" w:rsidRDefault="00506B2D">
            <w:pPr>
              <w:spacing w:after="160" w:line="259" w:lineRule="auto"/>
              <w:rPr>
                <w:rFonts w:ascii="Bookman Old Style" w:eastAsia="Bookman Old Style" w:hAnsi="Bookman Old Style" w:cs="Bookman Old Style"/>
                <w:b/>
                <w:sz w:val="22"/>
                <w:szCs w:val="22"/>
              </w:rPr>
            </w:pPr>
          </w:p>
          <w:p w:rsidR="00506B2D" w:rsidRDefault="00506B2D">
            <w:pPr>
              <w:spacing w:after="160" w:line="259" w:lineRule="auto"/>
              <w:rPr>
                <w:rFonts w:ascii="Bookman Old Style" w:eastAsia="Bookman Old Style" w:hAnsi="Bookman Old Style" w:cs="Bookman Old Style"/>
                <w:b/>
                <w:sz w:val="22"/>
                <w:szCs w:val="22"/>
              </w:rPr>
            </w:pPr>
          </w:p>
          <w:p w:rsidR="00506B2D" w:rsidRDefault="00506B2D">
            <w:pPr>
              <w:spacing w:after="160" w:line="259" w:lineRule="auto"/>
              <w:rPr>
                <w:rFonts w:ascii="Bookman Old Style" w:eastAsia="Bookman Old Style" w:hAnsi="Bookman Old Style" w:cs="Bookman Old Style"/>
                <w:b/>
                <w:sz w:val="22"/>
                <w:szCs w:val="22"/>
              </w:rPr>
            </w:pPr>
          </w:p>
          <w:p w:rsidR="00506B2D" w:rsidRDefault="008C5B26">
            <w:pPr>
              <w:spacing w:line="259" w:lineRule="auto"/>
              <w:jc w:val="center"/>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GERMÁN NAVAS TALERO</w:t>
            </w:r>
          </w:p>
          <w:p w:rsidR="00506B2D" w:rsidRDefault="008C5B26">
            <w:pPr>
              <w:spacing w:line="259" w:lineRule="auto"/>
              <w:jc w:val="center"/>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Representante a la Cámara por Bogotá D.C.</w:t>
            </w:r>
          </w:p>
        </w:tc>
      </w:tr>
    </w:tbl>
    <w:p w:rsidR="00506B2D" w:rsidRDefault="00506B2D">
      <w:pPr>
        <w:pBdr>
          <w:top w:val="nil"/>
          <w:left w:val="nil"/>
          <w:bottom w:val="nil"/>
          <w:right w:val="nil"/>
          <w:between w:val="nil"/>
        </w:pBdr>
        <w:spacing w:line="360" w:lineRule="auto"/>
        <w:rPr>
          <w:rFonts w:ascii="Bookman Old Style" w:eastAsia="Bookman Old Style" w:hAnsi="Bookman Old Style" w:cs="Bookman Old Style"/>
          <w:b/>
          <w:sz w:val="22"/>
          <w:szCs w:val="22"/>
        </w:rPr>
      </w:pPr>
    </w:p>
    <w:p w:rsidR="00506B2D" w:rsidRDefault="00506B2D">
      <w:pPr>
        <w:pBdr>
          <w:top w:val="nil"/>
          <w:left w:val="nil"/>
          <w:bottom w:val="nil"/>
          <w:right w:val="nil"/>
          <w:between w:val="nil"/>
        </w:pBdr>
        <w:spacing w:line="360" w:lineRule="auto"/>
        <w:rPr>
          <w:rFonts w:ascii="Bookman Old Style" w:eastAsia="Bookman Old Style" w:hAnsi="Bookman Old Style" w:cs="Bookman Old Style"/>
          <w:b/>
          <w:sz w:val="22"/>
          <w:szCs w:val="22"/>
        </w:rPr>
      </w:pPr>
    </w:p>
    <w:p w:rsidR="00506B2D" w:rsidRDefault="00506B2D">
      <w:pPr>
        <w:pBdr>
          <w:top w:val="nil"/>
          <w:left w:val="nil"/>
          <w:bottom w:val="nil"/>
          <w:right w:val="nil"/>
          <w:between w:val="nil"/>
        </w:pBdr>
        <w:spacing w:line="360" w:lineRule="auto"/>
        <w:rPr>
          <w:rFonts w:ascii="Bookman Old Style" w:eastAsia="Bookman Old Style" w:hAnsi="Bookman Old Style" w:cs="Bookman Old Style"/>
          <w:b/>
          <w:sz w:val="22"/>
          <w:szCs w:val="22"/>
        </w:rPr>
      </w:pPr>
    </w:p>
    <w:p w:rsidR="00506B2D" w:rsidRDefault="00506B2D">
      <w:pPr>
        <w:pBdr>
          <w:top w:val="nil"/>
          <w:left w:val="nil"/>
          <w:bottom w:val="nil"/>
          <w:right w:val="nil"/>
          <w:between w:val="nil"/>
        </w:pBdr>
        <w:spacing w:line="360" w:lineRule="auto"/>
        <w:rPr>
          <w:rFonts w:ascii="Bookman Old Style" w:eastAsia="Bookman Old Style" w:hAnsi="Bookman Old Style" w:cs="Bookman Old Style"/>
          <w:b/>
          <w:sz w:val="22"/>
          <w:szCs w:val="22"/>
        </w:rPr>
      </w:pPr>
    </w:p>
    <w:p w:rsidR="00506B2D" w:rsidRDefault="00506B2D">
      <w:pPr>
        <w:pBdr>
          <w:top w:val="nil"/>
          <w:left w:val="nil"/>
          <w:bottom w:val="nil"/>
          <w:right w:val="nil"/>
          <w:between w:val="nil"/>
        </w:pBdr>
        <w:spacing w:line="360" w:lineRule="auto"/>
        <w:rPr>
          <w:rFonts w:ascii="Bookman Old Style" w:eastAsia="Bookman Old Style" w:hAnsi="Bookman Old Style" w:cs="Bookman Old Style"/>
          <w:b/>
          <w:sz w:val="22"/>
          <w:szCs w:val="22"/>
        </w:rPr>
      </w:pPr>
    </w:p>
    <w:p w:rsidR="00506B2D" w:rsidRDefault="00506B2D">
      <w:pPr>
        <w:pBdr>
          <w:top w:val="nil"/>
          <w:left w:val="nil"/>
          <w:bottom w:val="nil"/>
          <w:right w:val="nil"/>
          <w:between w:val="nil"/>
        </w:pBdr>
        <w:spacing w:line="360" w:lineRule="auto"/>
        <w:rPr>
          <w:rFonts w:ascii="Bookman Old Style" w:eastAsia="Bookman Old Style" w:hAnsi="Bookman Old Style" w:cs="Bookman Old Style"/>
          <w:b/>
          <w:sz w:val="22"/>
          <w:szCs w:val="22"/>
        </w:rPr>
      </w:pPr>
    </w:p>
    <w:p w:rsidR="00506B2D" w:rsidRDefault="00506B2D">
      <w:pPr>
        <w:pBdr>
          <w:top w:val="nil"/>
          <w:left w:val="nil"/>
          <w:bottom w:val="nil"/>
          <w:right w:val="nil"/>
          <w:between w:val="nil"/>
        </w:pBdr>
        <w:spacing w:line="360" w:lineRule="auto"/>
        <w:rPr>
          <w:rFonts w:ascii="Bookman Old Style" w:eastAsia="Bookman Old Style" w:hAnsi="Bookman Old Style" w:cs="Bookman Old Style"/>
          <w:b/>
          <w:sz w:val="22"/>
          <w:szCs w:val="22"/>
        </w:rPr>
      </w:pPr>
    </w:p>
    <w:p w:rsidR="00506B2D" w:rsidRDefault="00506B2D">
      <w:pPr>
        <w:pBdr>
          <w:top w:val="nil"/>
          <w:left w:val="nil"/>
          <w:bottom w:val="nil"/>
          <w:right w:val="nil"/>
          <w:between w:val="nil"/>
        </w:pBdr>
        <w:spacing w:line="360" w:lineRule="auto"/>
        <w:rPr>
          <w:rFonts w:ascii="Bookman Old Style" w:eastAsia="Bookman Old Style" w:hAnsi="Bookman Old Style" w:cs="Bookman Old Style"/>
          <w:b/>
          <w:sz w:val="22"/>
          <w:szCs w:val="22"/>
        </w:rPr>
      </w:pPr>
    </w:p>
    <w:p w:rsidR="00506B2D" w:rsidRDefault="00506B2D">
      <w:pPr>
        <w:pBdr>
          <w:top w:val="nil"/>
          <w:left w:val="nil"/>
          <w:bottom w:val="nil"/>
          <w:right w:val="nil"/>
          <w:between w:val="nil"/>
        </w:pBdr>
        <w:spacing w:line="360" w:lineRule="auto"/>
        <w:rPr>
          <w:rFonts w:ascii="Bookman Old Style" w:eastAsia="Bookman Old Style" w:hAnsi="Bookman Old Style" w:cs="Bookman Old Style"/>
          <w:b/>
          <w:sz w:val="22"/>
          <w:szCs w:val="22"/>
        </w:rPr>
      </w:pPr>
    </w:p>
    <w:p w:rsidR="00506B2D" w:rsidRDefault="00506B2D">
      <w:pPr>
        <w:pBdr>
          <w:top w:val="nil"/>
          <w:left w:val="nil"/>
          <w:bottom w:val="nil"/>
          <w:right w:val="nil"/>
          <w:between w:val="nil"/>
        </w:pBdr>
        <w:spacing w:line="360" w:lineRule="auto"/>
        <w:rPr>
          <w:rFonts w:ascii="Bookman Old Style" w:eastAsia="Bookman Old Style" w:hAnsi="Bookman Old Style" w:cs="Bookman Old Style"/>
          <w:b/>
          <w:sz w:val="22"/>
          <w:szCs w:val="22"/>
        </w:rPr>
      </w:pPr>
    </w:p>
    <w:p w:rsidR="00506B2D" w:rsidRDefault="00506B2D">
      <w:pPr>
        <w:pBdr>
          <w:top w:val="nil"/>
          <w:left w:val="nil"/>
          <w:bottom w:val="nil"/>
          <w:right w:val="nil"/>
          <w:between w:val="nil"/>
        </w:pBdr>
        <w:spacing w:line="360" w:lineRule="auto"/>
        <w:rPr>
          <w:rFonts w:ascii="Bookman Old Style" w:eastAsia="Bookman Old Style" w:hAnsi="Bookman Old Style" w:cs="Bookman Old Style"/>
          <w:b/>
          <w:sz w:val="22"/>
          <w:szCs w:val="22"/>
        </w:rPr>
      </w:pPr>
    </w:p>
    <w:p w:rsidR="00506B2D" w:rsidRDefault="00506B2D">
      <w:pPr>
        <w:pBdr>
          <w:top w:val="nil"/>
          <w:left w:val="nil"/>
          <w:bottom w:val="nil"/>
          <w:right w:val="nil"/>
          <w:between w:val="nil"/>
        </w:pBdr>
        <w:spacing w:line="360" w:lineRule="auto"/>
        <w:rPr>
          <w:rFonts w:ascii="Bookman Old Style" w:eastAsia="Bookman Old Style" w:hAnsi="Bookman Old Style" w:cs="Bookman Old Style"/>
          <w:b/>
          <w:sz w:val="22"/>
          <w:szCs w:val="22"/>
        </w:rPr>
      </w:pPr>
    </w:p>
    <w:p w:rsidR="00506B2D" w:rsidRDefault="00506B2D">
      <w:pPr>
        <w:pBdr>
          <w:top w:val="nil"/>
          <w:left w:val="nil"/>
          <w:bottom w:val="nil"/>
          <w:right w:val="nil"/>
          <w:between w:val="nil"/>
        </w:pBdr>
        <w:spacing w:line="360" w:lineRule="auto"/>
        <w:rPr>
          <w:rFonts w:ascii="Bookman Old Style" w:eastAsia="Bookman Old Style" w:hAnsi="Bookman Old Style" w:cs="Bookman Old Style"/>
          <w:b/>
          <w:sz w:val="22"/>
          <w:szCs w:val="22"/>
        </w:rPr>
      </w:pPr>
    </w:p>
    <w:p w:rsidR="00506B2D" w:rsidRDefault="00506B2D">
      <w:pPr>
        <w:pBdr>
          <w:top w:val="nil"/>
          <w:left w:val="nil"/>
          <w:bottom w:val="nil"/>
          <w:right w:val="nil"/>
          <w:between w:val="nil"/>
        </w:pBdr>
        <w:spacing w:line="360" w:lineRule="auto"/>
        <w:rPr>
          <w:rFonts w:ascii="Bookman Old Style" w:eastAsia="Bookman Old Style" w:hAnsi="Bookman Old Style" w:cs="Bookman Old Style"/>
          <w:b/>
          <w:sz w:val="22"/>
          <w:szCs w:val="22"/>
        </w:rPr>
      </w:pPr>
    </w:p>
    <w:p w:rsidR="00506B2D" w:rsidRDefault="00506B2D">
      <w:pPr>
        <w:pBdr>
          <w:top w:val="nil"/>
          <w:left w:val="nil"/>
          <w:bottom w:val="nil"/>
          <w:right w:val="nil"/>
          <w:between w:val="nil"/>
        </w:pBdr>
        <w:spacing w:line="360" w:lineRule="auto"/>
        <w:rPr>
          <w:rFonts w:ascii="Bookman Old Style" w:eastAsia="Bookman Old Style" w:hAnsi="Bookman Old Style" w:cs="Bookman Old Style"/>
          <w:b/>
          <w:sz w:val="22"/>
          <w:szCs w:val="22"/>
        </w:rPr>
      </w:pPr>
    </w:p>
    <w:p w:rsidR="00506B2D" w:rsidRDefault="00506B2D">
      <w:pPr>
        <w:pBdr>
          <w:top w:val="nil"/>
          <w:left w:val="nil"/>
          <w:bottom w:val="nil"/>
          <w:right w:val="nil"/>
          <w:between w:val="nil"/>
        </w:pBdr>
        <w:spacing w:line="360" w:lineRule="auto"/>
        <w:rPr>
          <w:rFonts w:ascii="Bookman Old Style" w:eastAsia="Bookman Old Style" w:hAnsi="Bookman Old Style" w:cs="Bookman Old Style"/>
          <w:b/>
          <w:sz w:val="22"/>
          <w:szCs w:val="22"/>
        </w:rPr>
      </w:pPr>
    </w:p>
    <w:p w:rsidR="00506B2D" w:rsidRDefault="008C5B26">
      <w:pPr>
        <w:numPr>
          <w:ilvl w:val="0"/>
          <w:numId w:val="3"/>
        </w:numPr>
        <w:pBdr>
          <w:top w:val="nil"/>
          <w:left w:val="nil"/>
          <w:bottom w:val="nil"/>
          <w:right w:val="nil"/>
          <w:between w:val="nil"/>
        </w:pBdr>
        <w:spacing w:line="360" w:lineRule="auto"/>
        <w:rPr>
          <w:rFonts w:ascii="Bookman Old Style" w:eastAsia="Bookman Old Style" w:hAnsi="Bookman Old Style" w:cs="Bookman Old Style"/>
          <w:b/>
          <w:color w:val="000000"/>
          <w:sz w:val="22"/>
          <w:szCs w:val="22"/>
        </w:rPr>
      </w:pPr>
      <w:r>
        <w:rPr>
          <w:rFonts w:ascii="Bookman Old Style" w:eastAsia="Bookman Old Style" w:hAnsi="Bookman Old Style" w:cs="Bookman Old Style"/>
          <w:b/>
          <w:color w:val="000000"/>
          <w:sz w:val="22"/>
          <w:szCs w:val="22"/>
        </w:rPr>
        <w:t>TEXTO PROPUESTO</w:t>
      </w:r>
    </w:p>
    <w:p w:rsidR="00506B2D" w:rsidRDefault="00506B2D">
      <w:pPr>
        <w:pBdr>
          <w:top w:val="nil"/>
          <w:left w:val="nil"/>
          <w:bottom w:val="nil"/>
          <w:right w:val="nil"/>
          <w:between w:val="nil"/>
        </w:pBdr>
        <w:spacing w:line="360" w:lineRule="auto"/>
        <w:ind w:left="142"/>
        <w:rPr>
          <w:rFonts w:ascii="Bookman Old Style" w:eastAsia="Bookman Old Style" w:hAnsi="Bookman Old Style" w:cs="Bookman Old Style"/>
          <w:color w:val="000000"/>
          <w:sz w:val="22"/>
          <w:szCs w:val="22"/>
        </w:rPr>
      </w:pPr>
    </w:p>
    <w:p w:rsidR="00506B2D" w:rsidRDefault="008C5B26">
      <w:pPr>
        <w:spacing w:line="360" w:lineRule="auto"/>
        <w:jc w:val="center"/>
        <w:rPr>
          <w:rFonts w:ascii="Bookman Old Style" w:eastAsia="Bookman Old Style" w:hAnsi="Bookman Old Style" w:cs="Bookman Old Style"/>
          <w:b/>
          <w:color w:val="000000"/>
          <w:sz w:val="22"/>
          <w:szCs w:val="22"/>
        </w:rPr>
      </w:pPr>
      <w:r>
        <w:rPr>
          <w:rFonts w:ascii="Bookman Old Style" w:eastAsia="Bookman Old Style" w:hAnsi="Bookman Old Style" w:cs="Bookman Old Style"/>
          <w:b/>
          <w:color w:val="000000"/>
          <w:sz w:val="22"/>
          <w:szCs w:val="22"/>
        </w:rPr>
        <w:t>TEXTO PROPUESTO SEGUNDO DEBATE</w:t>
      </w:r>
    </w:p>
    <w:p w:rsidR="00506B2D" w:rsidRDefault="008C5B26">
      <w:pPr>
        <w:spacing w:line="360" w:lineRule="auto"/>
        <w:jc w:val="center"/>
        <w:rPr>
          <w:rFonts w:ascii="Bookman Old Style" w:eastAsia="Bookman Old Style" w:hAnsi="Bookman Old Style" w:cs="Bookman Old Style"/>
          <w:b/>
          <w:color w:val="000000"/>
          <w:sz w:val="22"/>
          <w:szCs w:val="22"/>
        </w:rPr>
      </w:pPr>
      <w:r>
        <w:rPr>
          <w:rFonts w:ascii="Bookman Old Style" w:eastAsia="Bookman Old Style" w:hAnsi="Bookman Old Style" w:cs="Bookman Old Style"/>
          <w:b/>
          <w:color w:val="000000"/>
          <w:sz w:val="22"/>
          <w:szCs w:val="22"/>
        </w:rPr>
        <w:t xml:space="preserve">PROYECTO DE LEY No 039 DE 2020 </w:t>
      </w:r>
      <w:r>
        <w:rPr>
          <w:rFonts w:ascii="Bookman Old Style" w:eastAsia="Bookman Old Style" w:hAnsi="Bookman Old Style" w:cs="Bookman Old Style"/>
          <w:b/>
          <w:sz w:val="22"/>
          <w:szCs w:val="22"/>
        </w:rPr>
        <w:t>CÁMARA</w:t>
      </w:r>
      <w:r>
        <w:rPr>
          <w:rFonts w:ascii="Bookman Old Style" w:eastAsia="Bookman Old Style" w:hAnsi="Bookman Old Style" w:cs="Bookman Old Style"/>
          <w:b/>
          <w:color w:val="000000"/>
          <w:sz w:val="22"/>
          <w:szCs w:val="22"/>
        </w:rPr>
        <w:t xml:space="preserve"> </w:t>
      </w:r>
    </w:p>
    <w:p w:rsidR="00506B2D" w:rsidRDefault="008C5B26">
      <w:pPr>
        <w:spacing w:line="360" w:lineRule="auto"/>
        <w:jc w:val="center"/>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“Por medio de la cual se adiciona un parágrafo</w:t>
      </w:r>
      <w:r>
        <w:rPr>
          <w:rFonts w:ascii="Bookman Old Style" w:eastAsia="Bookman Old Style" w:hAnsi="Bookman Old Style" w:cs="Bookman Old Style"/>
          <w:color w:val="000000"/>
          <w:sz w:val="22"/>
          <w:szCs w:val="22"/>
        </w:rPr>
        <w:t xml:space="preserve"> al artículo 91 de la Ley 1708 de 2014 y se regula la transferencia a título gratuito de los bienes con extinción de dominio a los municipios y distritos.</w:t>
      </w:r>
    </w:p>
    <w:p w:rsidR="00506B2D" w:rsidRDefault="00506B2D">
      <w:pPr>
        <w:spacing w:line="360" w:lineRule="auto"/>
        <w:jc w:val="center"/>
        <w:rPr>
          <w:rFonts w:ascii="Bookman Old Style" w:eastAsia="Bookman Old Style" w:hAnsi="Bookman Old Style" w:cs="Bookman Old Style"/>
          <w:color w:val="000000"/>
          <w:sz w:val="22"/>
          <w:szCs w:val="22"/>
        </w:rPr>
      </w:pPr>
    </w:p>
    <w:p w:rsidR="00506B2D" w:rsidRDefault="008C5B26">
      <w:pPr>
        <w:spacing w:line="360" w:lineRule="auto"/>
        <w:jc w:val="center"/>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EL CONGRESO DE COLOMBIA,</w:t>
      </w:r>
    </w:p>
    <w:p w:rsidR="00506B2D" w:rsidRDefault="008C5B26">
      <w:pPr>
        <w:spacing w:line="360" w:lineRule="auto"/>
        <w:jc w:val="center"/>
        <w:rPr>
          <w:rFonts w:ascii="Bookman Old Style" w:eastAsia="Bookman Old Style" w:hAnsi="Bookman Old Style" w:cs="Bookman Old Style"/>
          <w:b/>
          <w:color w:val="000000"/>
          <w:sz w:val="22"/>
          <w:szCs w:val="22"/>
        </w:rPr>
      </w:pPr>
      <w:r>
        <w:rPr>
          <w:rFonts w:ascii="Bookman Old Style" w:eastAsia="Bookman Old Style" w:hAnsi="Bookman Old Style" w:cs="Bookman Old Style"/>
          <w:color w:val="000000"/>
          <w:sz w:val="22"/>
          <w:szCs w:val="22"/>
        </w:rPr>
        <w:t>DECRETA:</w:t>
      </w:r>
    </w:p>
    <w:p w:rsidR="00506B2D" w:rsidRDefault="008C5B26">
      <w:pPr>
        <w:spacing w:line="360" w:lineRule="auto"/>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b/>
          <w:color w:val="000000"/>
          <w:sz w:val="22"/>
          <w:szCs w:val="22"/>
        </w:rPr>
        <w:t xml:space="preserve">ARTÍCULO 1°. </w:t>
      </w:r>
      <w:r>
        <w:rPr>
          <w:rFonts w:ascii="Bookman Old Style" w:eastAsia="Bookman Old Style" w:hAnsi="Bookman Old Style" w:cs="Bookman Old Style"/>
          <w:color w:val="000000"/>
          <w:sz w:val="22"/>
          <w:szCs w:val="22"/>
        </w:rPr>
        <w:t>Adiciónese un parágrafo al artículo 91 de la Ley 1708 de 2014 “Por la cual se expide el Código Nacional de Extinción de Dominio” modificada por el artículo 22 de la Ley 1849 de 2017, el cual quedará así:</w:t>
      </w:r>
    </w:p>
    <w:p w:rsidR="00506B2D" w:rsidRDefault="008C5B26">
      <w:pPr>
        <w:spacing w:line="360" w:lineRule="auto"/>
        <w:jc w:val="both"/>
        <w:rPr>
          <w:rFonts w:ascii="Bookman Old Style" w:eastAsia="Bookman Old Style" w:hAnsi="Bookman Old Style" w:cs="Bookman Old Style"/>
          <w:i/>
          <w:color w:val="000000"/>
          <w:sz w:val="22"/>
          <w:szCs w:val="22"/>
        </w:rPr>
      </w:pPr>
      <w:r>
        <w:rPr>
          <w:rFonts w:ascii="Bookman Old Style" w:eastAsia="Bookman Old Style" w:hAnsi="Bookman Old Style" w:cs="Bookman Old Style"/>
          <w:i/>
          <w:color w:val="000000"/>
          <w:sz w:val="22"/>
          <w:szCs w:val="22"/>
        </w:rPr>
        <w:t>“Parágrafo 5º: Los municipios y distritos podrán sol</w:t>
      </w:r>
      <w:r>
        <w:rPr>
          <w:rFonts w:ascii="Bookman Old Style" w:eastAsia="Bookman Old Style" w:hAnsi="Bookman Old Style" w:cs="Bookman Old Style"/>
          <w:i/>
          <w:color w:val="000000"/>
          <w:sz w:val="22"/>
          <w:szCs w:val="22"/>
        </w:rPr>
        <w:t>icitar la transferencia a título gratuito de los bienes inmuebles ubicados dentro de su territorialidad y a los cuales se les haya declarado la extinción de dominio con el fin de destinar su adaptación para programas relacionados con salud, cultura, deport</w:t>
      </w:r>
      <w:r>
        <w:rPr>
          <w:rFonts w:ascii="Bookman Old Style" w:eastAsia="Bookman Old Style" w:hAnsi="Bookman Old Style" w:cs="Bookman Old Style"/>
          <w:i/>
          <w:color w:val="000000"/>
          <w:sz w:val="22"/>
          <w:szCs w:val="22"/>
        </w:rPr>
        <w:t xml:space="preserve">e, ecoturismo o educación.” </w:t>
      </w:r>
    </w:p>
    <w:p w:rsidR="00506B2D" w:rsidRDefault="00506B2D">
      <w:pPr>
        <w:spacing w:line="360" w:lineRule="auto"/>
        <w:jc w:val="both"/>
        <w:rPr>
          <w:rFonts w:ascii="Bookman Old Style" w:eastAsia="Bookman Old Style" w:hAnsi="Bookman Old Style" w:cs="Bookman Old Style"/>
          <w:b/>
          <w:color w:val="000000"/>
          <w:sz w:val="22"/>
          <w:szCs w:val="22"/>
        </w:rPr>
      </w:pPr>
    </w:p>
    <w:p w:rsidR="00506B2D" w:rsidRDefault="008C5B26">
      <w:pPr>
        <w:spacing w:line="360" w:lineRule="auto"/>
        <w:jc w:val="both"/>
        <w:rPr>
          <w:rFonts w:ascii="Bookman Old Style" w:eastAsia="Bookman Old Style" w:hAnsi="Bookman Old Style" w:cs="Bookman Old Style"/>
          <w:b/>
          <w:color w:val="000000"/>
          <w:sz w:val="22"/>
          <w:szCs w:val="22"/>
        </w:rPr>
      </w:pPr>
      <w:r>
        <w:rPr>
          <w:rFonts w:ascii="Bookman Old Style" w:eastAsia="Bookman Old Style" w:hAnsi="Bookman Old Style" w:cs="Bookman Old Style"/>
          <w:b/>
          <w:color w:val="000000"/>
          <w:sz w:val="22"/>
          <w:szCs w:val="22"/>
        </w:rPr>
        <w:t xml:space="preserve">ARTÍCULO 2°.  PROCEDIMIENTO DE LA SOLICITUD. </w:t>
      </w:r>
      <w:r>
        <w:rPr>
          <w:rFonts w:ascii="Bookman Old Style" w:eastAsia="Bookman Old Style" w:hAnsi="Bookman Old Style" w:cs="Bookman Old Style"/>
          <w:color w:val="000000"/>
          <w:sz w:val="22"/>
          <w:szCs w:val="22"/>
        </w:rPr>
        <w:t>El alcalde del municipio o distrito deberá contar con la autorización del Concejo Municipal o Distrital para presentar la solicitud, y sólo podrá solicitar la transferencia a título</w:t>
      </w:r>
      <w:r>
        <w:rPr>
          <w:rFonts w:ascii="Bookman Old Style" w:eastAsia="Bookman Old Style" w:hAnsi="Bookman Old Style" w:cs="Bookman Old Style"/>
          <w:color w:val="000000"/>
          <w:sz w:val="22"/>
          <w:szCs w:val="22"/>
        </w:rPr>
        <w:t xml:space="preserve"> gratuito de los bienes que conforme a sus características consideren necesarios para el desarrollo y ejecución de aquellos proyectos que el consejo de gobierno haya declarado de importancia estratégica.</w:t>
      </w:r>
    </w:p>
    <w:p w:rsidR="00506B2D" w:rsidRDefault="00506B2D">
      <w:pPr>
        <w:spacing w:line="360" w:lineRule="auto"/>
        <w:jc w:val="both"/>
        <w:rPr>
          <w:rFonts w:ascii="Bookman Old Style" w:eastAsia="Bookman Old Style" w:hAnsi="Bookman Old Style" w:cs="Bookman Old Style"/>
          <w:b/>
          <w:color w:val="000000"/>
          <w:sz w:val="22"/>
          <w:szCs w:val="22"/>
        </w:rPr>
      </w:pPr>
    </w:p>
    <w:p w:rsidR="00506B2D" w:rsidRDefault="008C5B26">
      <w:pPr>
        <w:spacing w:line="360" w:lineRule="auto"/>
        <w:jc w:val="both"/>
        <w:rPr>
          <w:rFonts w:ascii="Bookman Old Style" w:eastAsia="Bookman Old Style" w:hAnsi="Bookman Old Style" w:cs="Bookman Old Style"/>
          <w:b/>
          <w:color w:val="000000"/>
          <w:sz w:val="22"/>
          <w:szCs w:val="22"/>
        </w:rPr>
      </w:pPr>
      <w:r>
        <w:rPr>
          <w:rFonts w:ascii="Bookman Old Style" w:eastAsia="Bookman Old Style" w:hAnsi="Bookman Old Style" w:cs="Bookman Old Style"/>
          <w:b/>
          <w:color w:val="000000"/>
          <w:sz w:val="22"/>
          <w:szCs w:val="22"/>
        </w:rPr>
        <w:t xml:space="preserve">ARTÍCULO 3°. PRINCIPIOS. </w:t>
      </w:r>
      <w:r>
        <w:rPr>
          <w:rFonts w:ascii="Bookman Old Style" w:eastAsia="Bookman Old Style" w:hAnsi="Bookman Old Style" w:cs="Bookman Old Style"/>
          <w:color w:val="000000"/>
          <w:sz w:val="22"/>
          <w:szCs w:val="22"/>
        </w:rPr>
        <w:t>El Gobierno Nacional a tra</w:t>
      </w:r>
      <w:r>
        <w:rPr>
          <w:rFonts w:ascii="Bookman Old Style" w:eastAsia="Bookman Old Style" w:hAnsi="Bookman Old Style" w:cs="Bookman Old Style"/>
          <w:color w:val="000000"/>
          <w:sz w:val="22"/>
          <w:szCs w:val="22"/>
        </w:rPr>
        <w:t>vés de la Sociedad de Activos Especiales deberá atender la solicitud que realice el distrito para la transferencia a título gratuito de los bienes sobre los que se declare la extinción de dominio con observancia de los principios de eficacia, celeridad y e</w:t>
      </w:r>
      <w:r>
        <w:rPr>
          <w:rFonts w:ascii="Bookman Old Style" w:eastAsia="Bookman Old Style" w:hAnsi="Bookman Old Style" w:cs="Bookman Old Style"/>
          <w:color w:val="000000"/>
          <w:sz w:val="22"/>
          <w:szCs w:val="22"/>
        </w:rPr>
        <w:t>nfoque territorial.</w:t>
      </w:r>
      <w:r>
        <w:rPr>
          <w:rFonts w:ascii="Bookman Old Style" w:eastAsia="Bookman Old Style" w:hAnsi="Bookman Old Style" w:cs="Bookman Old Style"/>
          <w:b/>
          <w:color w:val="000000"/>
          <w:sz w:val="22"/>
          <w:szCs w:val="22"/>
        </w:rPr>
        <w:t xml:space="preserve"> </w:t>
      </w:r>
    </w:p>
    <w:p w:rsidR="00506B2D" w:rsidRDefault="00506B2D">
      <w:pPr>
        <w:spacing w:line="360" w:lineRule="auto"/>
        <w:jc w:val="both"/>
        <w:rPr>
          <w:rFonts w:ascii="Bookman Old Style" w:eastAsia="Bookman Old Style" w:hAnsi="Bookman Old Style" w:cs="Bookman Old Style"/>
          <w:b/>
          <w:color w:val="000000"/>
          <w:sz w:val="22"/>
          <w:szCs w:val="22"/>
        </w:rPr>
      </w:pPr>
    </w:p>
    <w:p w:rsidR="00506B2D" w:rsidRDefault="008C5B26">
      <w:pPr>
        <w:spacing w:line="360" w:lineRule="auto"/>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b/>
          <w:color w:val="000000"/>
          <w:sz w:val="22"/>
          <w:szCs w:val="22"/>
        </w:rPr>
        <w:t xml:space="preserve">ARTÍCULO 4°. </w:t>
      </w:r>
      <w:r>
        <w:rPr>
          <w:rFonts w:ascii="Bookman Old Style" w:eastAsia="Bookman Old Style" w:hAnsi="Bookman Old Style" w:cs="Bookman Old Style"/>
          <w:color w:val="000000"/>
          <w:sz w:val="22"/>
          <w:szCs w:val="22"/>
        </w:rPr>
        <w:t>Los bienes inmuebles sobre los que se declare la extinción de dominio que sean transferidos a los municipios o distritos, con motivo de la presente ley, no se imputarán a los porcentajes específicos de destinación contemp</w:t>
      </w:r>
      <w:r>
        <w:rPr>
          <w:rFonts w:ascii="Bookman Old Style" w:eastAsia="Bookman Old Style" w:hAnsi="Bookman Old Style" w:cs="Bookman Old Style"/>
          <w:color w:val="000000"/>
          <w:sz w:val="22"/>
          <w:szCs w:val="22"/>
        </w:rPr>
        <w:t xml:space="preserve">lados en el artículo 91 de la Ley 1708 de 2014 o de las que modifiquen o complementen.  </w:t>
      </w:r>
    </w:p>
    <w:p w:rsidR="00506B2D" w:rsidRDefault="008C5B26">
      <w:pPr>
        <w:spacing w:line="360" w:lineRule="auto"/>
        <w:jc w:val="both"/>
        <w:rPr>
          <w:rFonts w:ascii="Bookman Old Style" w:eastAsia="Bookman Old Style" w:hAnsi="Bookman Old Style" w:cs="Bookman Old Style"/>
          <w:b/>
          <w:color w:val="000000"/>
          <w:sz w:val="22"/>
          <w:szCs w:val="22"/>
        </w:rPr>
      </w:pPr>
      <w:r>
        <w:rPr>
          <w:rFonts w:ascii="Bookman Old Style" w:eastAsia="Bookman Old Style" w:hAnsi="Bookman Old Style" w:cs="Bookman Old Style"/>
          <w:b/>
          <w:color w:val="000000"/>
          <w:sz w:val="22"/>
          <w:szCs w:val="22"/>
        </w:rPr>
        <w:t>Parágrafo.</w:t>
      </w:r>
      <w:r>
        <w:rPr>
          <w:rFonts w:ascii="Bookman Old Style" w:eastAsia="Bookman Old Style" w:hAnsi="Bookman Old Style" w:cs="Bookman Old Style"/>
          <w:color w:val="000000"/>
          <w:sz w:val="22"/>
          <w:szCs w:val="22"/>
        </w:rPr>
        <w:t xml:space="preserve"> La solicitud de la transferencia de los bienes inmuebles con extinción de dominio no será procedente sobre aquellos que tenga la destinación específica esta</w:t>
      </w:r>
      <w:r>
        <w:rPr>
          <w:rFonts w:ascii="Bookman Old Style" w:eastAsia="Bookman Old Style" w:hAnsi="Bookman Old Style" w:cs="Bookman Old Style"/>
          <w:color w:val="000000"/>
          <w:sz w:val="22"/>
          <w:szCs w:val="22"/>
        </w:rPr>
        <w:t>blecida en la Ley 1448 de 2011</w:t>
      </w:r>
      <w:r>
        <w:rPr>
          <w:rFonts w:ascii="Bookman Old Style" w:eastAsia="Bookman Old Style" w:hAnsi="Bookman Old Style" w:cs="Bookman Old Style"/>
          <w:b/>
          <w:color w:val="000000"/>
          <w:sz w:val="22"/>
          <w:szCs w:val="22"/>
        </w:rPr>
        <w:t xml:space="preserve">. </w:t>
      </w:r>
    </w:p>
    <w:p w:rsidR="00506B2D" w:rsidRDefault="00506B2D">
      <w:pPr>
        <w:spacing w:line="360" w:lineRule="auto"/>
        <w:jc w:val="both"/>
        <w:rPr>
          <w:rFonts w:ascii="Bookman Old Style" w:eastAsia="Bookman Old Style" w:hAnsi="Bookman Old Style" w:cs="Bookman Old Style"/>
          <w:b/>
          <w:color w:val="000000"/>
          <w:sz w:val="22"/>
          <w:szCs w:val="22"/>
        </w:rPr>
      </w:pPr>
    </w:p>
    <w:p w:rsidR="00506B2D" w:rsidRDefault="008C5B26">
      <w:pPr>
        <w:spacing w:line="360" w:lineRule="auto"/>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b/>
          <w:color w:val="000000"/>
          <w:sz w:val="22"/>
          <w:szCs w:val="22"/>
        </w:rPr>
        <w:t xml:space="preserve">ARTÍCULO 5. TÉRMINOS. </w:t>
      </w:r>
      <w:r>
        <w:rPr>
          <w:rFonts w:ascii="Bookman Old Style" w:eastAsia="Bookman Old Style" w:hAnsi="Bookman Old Style" w:cs="Bookman Old Style"/>
          <w:color w:val="000000"/>
          <w:sz w:val="22"/>
          <w:szCs w:val="22"/>
        </w:rPr>
        <w:t>La solicitud de la entidad territorial deberá ser resuelta dentro de los treinta días hábiles siguientes a su presentación, de lo contrario operará el silencio administrativo positivo en favor de la e</w:t>
      </w:r>
      <w:r>
        <w:rPr>
          <w:rFonts w:ascii="Bookman Old Style" w:eastAsia="Bookman Old Style" w:hAnsi="Bookman Old Style" w:cs="Bookman Old Style"/>
          <w:color w:val="000000"/>
          <w:sz w:val="22"/>
          <w:szCs w:val="22"/>
        </w:rPr>
        <w:t>ntidad solicitante.</w:t>
      </w:r>
    </w:p>
    <w:p w:rsidR="00506B2D" w:rsidRDefault="00506B2D">
      <w:pPr>
        <w:spacing w:line="360" w:lineRule="auto"/>
        <w:jc w:val="both"/>
        <w:rPr>
          <w:rFonts w:ascii="Bookman Old Style" w:eastAsia="Bookman Old Style" w:hAnsi="Bookman Old Style" w:cs="Bookman Old Style"/>
          <w:color w:val="000000"/>
          <w:sz w:val="22"/>
          <w:szCs w:val="22"/>
        </w:rPr>
      </w:pPr>
    </w:p>
    <w:p w:rsidR="00506B2D" w:rsidRDefault="008C5B26">
      <w:pPr>
        <w:spacing w:line="360" w:lineRule="auto"/>
        <w:jc w:val="both"/>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 xml:space="preserve">ARTÍCULO 6°. </w:t>
      </w:r>
      <w:r>
        <w:rPr>
          <w:rFonts w:ascii="Bookman Old Style" w:eastAsia="Bookman Old Style" w:hAnsi="Bookman Old Style" w:cs="Bookman Old Style"/>
          <w:sz w:val="22"/>
          <w:szCs w:val="22"/>
        </w:rPr>
        <w:t xml:space="preserve">Las entidades territoriales podrán solicitar excepcionalmente la transferencia de bienes muebles a título gratuito, cuando esta solicitud se relacione con el cumplimiento de proyectos establecidos en el plan de desarrollo municipal o distrital. </w:t>
      </w:r>
    </w:p>
    <w:p w:rsidR="00506B2D" w:rsidRDefault="008C5B26">
      <w:pPr>
        <w:spacing w:line="360" w:lineRule="auto"/>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La solicit</w:t>
      </w:r>
      <w:r>
        <w:rPr>
          <w:rFonts w:ascii="Bookman Old Style" w:eastAsia="Bookman Old Style" w:hAnsi="Bookman Old Style" w:cs="Bookman Old Style"/>
          <w:sz w:val="22"/>
          <w:szCs w:val="22"/>
        </w:rPr>
        <w:t xml:space="preserve">ud de transferencia atenderá las reglas fijadas en el artículo segundo de la presente Ley. </w:t>
      </w:r>
    </w:p>
    <w:p w:rsidR="00506B2D" w:rsidRDefault="008C5B26">
      <w:pPr>
        <w:spacing w:line="360" w:lineRule="auto"/>
        <w:jc w:val="both"/>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Parágrafo.</w:t>
      </w:r>
      <w:r>
        <w:rPr>
          <w:rFonts w:ascii="Bookman Old Style" w:eastAsia="Bookman Old Style" w:hAnsi="Bookman Old Style" w:cs="Bookman Old Style"/>
          <w:sz w:val="22"/>
          <w:szCs w:val="22"/>
        </w:rPr>
        <w:t xml:space="preserve"> Para la presentación de la solicitud, el alcalde deberá presentar al concejo municipal o distrital un estudio técnico en el cual se explique la pertinenc</w:t>
      </w:r>
      <w:r>
        <w:rPr>
          <w:rFonts w:ascii="Bookman Old Style" w:eastAsia="Bookman Old Style" w:hAnsi="Bookman Old Style" w:cs="Bookman Old Style"/>
          <w:sz w:val="22"/>
          <w:szCs w:val="22"/>
        </w:rPr>
        <w:t xml:space="preserve">ia y necesidad de estos bienes para el cumplimiento del plan de desarrollo. </w:t>
      </w:r>
    </w:p>
    <w:p w:rsidR="00506B2D" w:rsidRDefault="008C5B26">
      <w:pPr>
        <w:spacing w:line="360" w:lineRule="auto"/>
        <w:jc w:val="both"/>
        <w:rPr>
          <w:rFonts w:ascii="Bookman Old Style" w:eastAsia="Bookman Old Style" w:hAnsi="Bookman Old Style" w:cs="Bookman Old Style"/>
          <w:b/>
          <w:sz w:val="22"/>
          <w:szCs w:val="22"/>
        </w:rPr>
      </w:pPr>
      <w:r>
        <w:rPr>
          <w:rFonts w:ascii="Bookman Old Style" w:eastAsia="Bookman Old Style" w:hAnsi="Bookman Old Style" w:cs="Bookman Old Style"/>
          <w:sz w:val="22"/>
          <w:szCs w:val="22"/>
        </w:rPr>
        <w:t xml:space="preserve"> </w:t>
      </w:r>
    </w:p>
    <w:p w:rsidR="00506B2D" w:rsidRDefault="008C5B26">
      <w:pPr>
        <w:spacing w:line="360" w:lineRule="auto"/>
        <w:jc w:val="both"/>
        <w:rPr>
          <w:rFonts w:ascii="Bookman Old Style" w:eastAsia="Bookman Old Style" w:hAnsi="Bookman Old Style" w:cs="Bookman Old Style"/>
          <w:b/>
          <w:color w:val="000000"/>
          <w:sz w:val="22"/>
          <w:szCs w:val="22"/>
        </w:rPr>
      </w:pPr>
      <w:r>
        <w:rPr>
          <w:rFonts w:ascii="Bookman Old Style" w:eastAsia="Bookman Old Style" w:hAnsi="Bookman Old Style" w:cs="Bookman Old Style"/>
          <w:b/>
          <w:sz w:val="22"/>
          <w:szCs w:val="22"/>
        </w:rPr>
        <w:t xml:space="preserve">ARTÍCULO 7°. </w:t>
      </w:r>
      <w:r>
        <w:rPr>
          <w:rFonts w:ascii="Bookman Old Style" w:eastAsia="Bookman Old Style" w:hAnsi="Bookman Old Style" w:cs="Bookman Old Style"/>
          <w:b/>
          <w:color w:val="000000"/>
          <w:sz w:val="22"/>
          <w:szCs w:val="22"/>
        </w:rPr>
        <w:t xml:space="preserve">VIGENCIA. </w:t>
      </w:r>
      <w:r>
        <w:rPr>
          <w:rFonts w:ascii="Bookman Old Style" w:eastAsia="Bookman Old Style" w:hAnsi="Bookman Old Style" w:cs="Bookman Old Style"/>
          <w:color w:val="000000"/>
          <w:sz w:val="22"/>
          <w:szCs w:val="22"/>
        </w:rPr>
        <w:t>La presente ley rige a partir de la fecha de su publicación y deroga las disposiciones que le sean contrarias</w:t>
      </w:r>
      <w:r>
        <w:rPr>
          <w:rFonts w:ascii="Bookman Old Style" w:eastAsia="Bookman Old Style" w:hAnsi="Bookman Old Style" w:cs="Bookman Old Style"/>
          <w:b/>
          <w:color w:val="000000"/>
          <w:sz w:val="22"/>
          <w:szCs w:val="22"/>
        </w:rPr>
        <w:t xml:space="preserve">. </w:t>
      </w:r>
    </w:p>
    <w:p w:rsidR="00506B2D" w:rsidRDefault="00506B2D">
      <w:pPr>
        <w:spacing w:line="360" w:lineRule="auto"/>
        <w:jc w:val="both"/>
        <w:rPr>
          <w:rFonts w:ascii="Bookman Old Style" w:eastAsia="Bookman Old Style" w:hAnsi="Bookman Old Style" w:cs="Bookman Old Style"/>
          <w:b/>
          <w:sz w:val="22"/>
          <w:szCs w:val="22"/>
        </w:rPr>
      </w:pPr>
    </w:p>
    <w:p w:rsidR="00506B2D" w:rsidRDefault="00506B2D">
      <w:pPr>
        <w:spacing w:line="360" w:lineRule="auto"/>
        <w:rPr>
          <w:rFonts w:ascii="Bookman Old Style" w:eastAsia="Bookman Old Style" w:hAnsi="Bookman Old Style" w:cs="Bookman Old Style"/>
          <w:sz w:val="22"/>
          <w:szCs w:val="22"/>
        </w:rPr>
      </w:pPr>
    </w:p>
    <w:p w:rsidR="00506B2D" w:rsidRDefault="00506B2D">
      <w:pPr>
        <w:spacing w:line="360" w:lineRule="auto"/>
        <w:rPr>
          <w:rFonts w:ascii="Bookman Old Style" w:eastAsia="Bookman Old Style" w:hAnsi="Bookman Old Style" w:cs="Bookman Old Style"/>
          <w:sz w:val="22"/>
          <w:szCs w:val="22"/>
        </w:rPr>
      </w:pPr>
    </w:p>
    <w:p w:rsidR="00506B2D" w:rsidRDefault="00506B2D">
      <w:pPr>
        <w:spacing w:line="360" w:lineRule="auto"/>
        <w:rPr>
          <w:rFonts w:ascii="Bookman Old Style" w:eastAsia="Bookman Old Style" w:hAnsi="Bookman Old Style" w:cs="Bookman Old Style"/>
          <w:sz w:val="22"/>
          <w:szCs w:val="22"/>
        </w:rPr>
      </w:pPr>
    </w:p>
    <w:p w:rsidR="00506B2D" w:rsidRDefault="00506B2D">
      <w:pPr>
        <w:spacing w:line="360" w:lineRule="auto"/>
        <w:rPr>
          <w:rFonts w:ascii="Bookman Old Style" w:eastAsia="Bookman Old Style" w:hAnsi="Bookman Old Style" w:cs="Bookman Old Style"/>
          <w:sz w:val="22"/>
          <w:szCs w:val="22"/>
        </w:rPr>
      </w:pPr>
    </w:p>
    <w:p w:rsidR="00506B2D" w:rsidRDefault="00506B2D">
      <w:pPr>
        <w:spacing w:line="360" w:lineRule="auto"/>
        <w:rPr>
          <w:rFonts w:ascii="Bookman Old Style" w:eastAsia="Bookman Old Style" w:hAnsi="Bookman Old Style" w:cs="Bookman Old Style"/>
          <w:sz w:val="22"/>
          <w:szCs w:val="22"/>
        </w:rPr>
      </w:pPr>
    </w:p>
    <w:p w:rsidR="00506B2D" w:rsidRDefault="00506B2D">
      <w:pPr>
        <w:spacing w:line="360" w:lineRule="auto"/>
        <w:rPr>
          <w:rFonts w:ascii="Bookman Old Style" w:eastAsia="Bookman Old Style" w:hAnsi="Bookman Old Style" w:cs="Bookman Old Style"/>
          <w:sz w:val="22"/>
          <w:szCs w:val="22"/>
        </w:rPr>
      </w:pPr>
    </w:p>
    <w:p w:rsidR="00506B2D" w:rsidRDefault="008C5B26">
      <w:pPr>
        <w:widowControl w:val="0"/>
        <w:numPr>
          <w:ilvl w:val="0"/>
          <w:numId w:val="3"/>
        </w:numPr>
        <w:pBdr>
          <w:top w:val="nil"/>
          <w:left w:val="nil"/>
          <w:bottom w:val="nil"/>
          <w:right w:val="nil"/>
          <w:between w:val="nil"/>
        </w:pBdr>
        <w:spacing w:before="280" w:after="280" w:line="360" w:lineRule="auto"/>
        <w:ind w:left="0" w:hanging="141"/>
        <w:jc w:val="center"/>
        <w:rPr>
          <w:rFonts w:ascii="Bookman Old Style" w:eastAsia="Bookman Old Style" w:hAnsi="Bookman Old Style" w:cs="Bookman Old Style"/>
          <w:sz w:val="22"/>
          <w:szCs w:val="22"/>
        </w:rPr>
      </w:pPr>
      <w:r>
        <w:rPr>
          <w:rFonts w:ascii="Bookman Old Style" w:eastAsia="Bookman Old Style" w:hAnsi="Bookman Old Style" w:cs="Bookman Old Style"/>
          <w:b/>
          <w:color w:val="000000"/>
          <w:sz w:val="22"/>
          <w:szCs w:val="22"/>
        </w:rPr>
        <w:t>REFERENCIAS</w:t>
      </w:r>
    </w:p>
    <w:p w:rsidR="00506B2D" w:rsidRDefault="008C5B26">
      <w:pPr>
        <w:pBdr>
          <w:top w:val="nil"/>
          <w:left w:val="nil"/>
          <w:bottom w:val="nil"/>
          <w:right w:val="nil"/>
          <w:between w:val="nil"/>
        </w:pBdr>
        <w:ind w:left="720" w:hanging="720"/>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Asamblea Nacional Constituyente (1991). Constitución Política de Colombia. Bogotá.</w:t>
      </w:r>
    </w:p>
    <w:p w:rsidR="00506B2D" w:rsidRDefault="00506B2D">
      <w:pPr>
        <w:pBdr>
          <w:top w:val="nil"/>
          <w:left w:val="nil"/>
          <w:bottom w:val="nil"/>
          <w:right w:val="nil"/>
          <w:between w:val="nil"/>
        </w:pBdr>
        <w:ind w:left="720" w:hanging="720"/>
        <w:jc w:val="both"/>
        <w:rPr>
          <w:rFonts w:ascii="Bookman Old Style" w:eastAsia="Bookman Old Style" w:hAnsi="Bookman Old Style" w:cs="Bookman Old Style"/>
          <w:color w:val="000000"/>
          <w:sz w:val="22"/>
          <w:szCs w:val="22"/>
        </w:rPr>
      </w:pPr>
    </w:p>
    <w:p w:rsidR="00506B2D" w:rsidRDefault="008C5B26">
      <w:pPr>
        <w:pBdr>
          <w:top w:val="nil"/>
          <w:left w:val="nil"/>
          <w:bottom w:val="nil"/>
          <w:right w:val="nil"/>
          <w:between w:val="nil"/>
        </w:pBdr>
        <w:ind w:left="720" w:hanging="720"/>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Congreso de la República (1936). ley 95 de 1936 “Sobre Código Penal”. Bogotá</w:t>
      </w:r>
    </w:p>
    <w:p w:rsidR="00506B2D" w:rsidRDefault="00506B2D">
      <w:pPr>
        <w:pBdr>
          <w:top w:val="nil"/>
          <w:left w:val="nil"/>
          <w:bottom w:val="nil"/>
          <w:right w:val="nil"/>
          <w:between w:val="nil"/>
        </w:pBdr>
        <w:ind w:left="720" w:hanging="720"/>
        <w:jc w:val="both"/>
        <w:rPr>
          <w:rFonts w:ascii="Bookman Old Style" w:eastAsia="Bookman Old Style" w:hAnsi="Bookman Old Style" w:cs="Bookman Old Style"/>
          <w:color w:val="000000"/>
          <w:sz w:val="22"/>
          <w:szCs w:val="22"/>
        </w:rPr>
      </w:pPr>
    </w:p>
    <w:p w:rsidR="00506B2D" w:rsidRDefault="008C5B26">
      <w:pPr>
        <w:pBdr>
          <w:top w:val="nil"/>
          <w:left w:val="nil"/>
          <w:bottom w:val="nil"/>
          <w:right w:val="nil"/>
          <w:between w:val="nil"/>
        </w:pBdr>
        <w:ind w:left="720" w:hanging="720"/>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Congreso de la República (1984). Ley 2ª de 1984 “Por la cual se establece la competencia de la</w:t>
      </w:r>
      <w:r>
        <w:rPr>
          <w:rFonts w:ascii="Bookman Old Style" w:eastAsia="Bookman Old Style" w:hAnsi="Bookman Old Style" w:cs="Bookman Old Style"/>
          <w:color w:val="000000"/>
          <w:sz w:val="22"/>
          <w:szCs w:val="22"/>
        </w:rPr>
        <w:t>s autoridades de Policía; se fija el respectivo procedimiento; se crean cargos de jueces especializados y se establece un procedimiento especial para la investigación y juzgamiento de los delitos de secuestro extorsivo, extorsión y terrorismo; se dictan no</w:t>
      </w:r>
      <w:r>
        <w:rPr>
          <w:rFonts w:ascii="Bookman Old Style" w:eastAsia="Bookman Old Style" w:hAnsi="Bookman Old Style" w:cs="Bookman Old Style"/>
          <w:color w:val="000000"/>
          <w:sz w:val="22"/>
          <w:szCs w:val="22"/>
        </w:rPr>
        <w:t>rmas sobre captura, detención preventiva, excarcelación; se fijan competencias en materia civil, penal y laboral, y se dictan otras disposiciones”. Bogotá</w:t>
      </w:r>
    </w:p>
    <w:p w:rsidR="00506B2D" w:rsidRDefault="00506B2D">
      <w:pPr>
        <w:pBdr>
          <w:top w:val="nil"/>
          <w:left w:val="nil"/>
          <w:bottom w:val="nil"/>
          <w:right w:val="nil"/>
          <w:between w:val="nil"/>
        </w:pBdr>
        <w:ind w:left="720" w:hanging="720"/>
        <w:jc w:val="both"/>
        <w:rPr>
          <w:rFonts w:ascii="Bookman Old Style" w:eastAsia="Bookman Old Style" w:hAnsi="Bookman Old Style" w:cs="Bookman Old Style"/>
          <w:color w:val="000000"/>
          <w:sz w:val="22"/>
          <w:szCs w:val="22"/>
        </w:rPr>
      </w:pPr>
    </w:p>
    <w:p w:rsidR="00506B2D" w:rsidRDefault="008C5B26">
      <w:pPr>
        <w:pBdr>
          <w:top w:val="nil"/>
          <w:left w:val="nil"/>
          <w:bottom w:val="nil"/>
          <w:right w:val="nil"/>
          <w:between w:val="nil"/>
        </w:pBdr>
        <w:ind w:left="720" w:hanging="720"/>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Congreso de la República (1996). ley 333 de 1996 “Por la cual se establecen las normas de extinción </w:t>
      </w:r>
      <w:r>
        <w:rPr>
          <w:rFonts w:ascii="Bookman Old Style" w:eastAsia="Bookman Old Style" w:hAnsi="Bookman Old Style" w:cs="Bookman Old Style"/>
          <w:color w:val="000000"/>
          <w:sz w:val="22"/>
          <w:szCs w:val="22"/>
        </w:rPr>
        <w:t>de dominio sobre los bienes adquiridos en forma ilícita.”. Bogotá</w:t>
      </w:r>
    </w:p>
    <w:p w:rsidR="00506B2D" w:rsidRDefault="00506B2D">
      <w:pPr>
        <w:pBdr>
          <w:top w:val="nil"/>
          <w:left w:val="nil"/>
          <w:bottom w:val="nil"/>
          <w:right w:val="nil"/>
          <w:between w:val="nil"/>
        </w:pBdr>
        <w:ind w:left="720" w:hanging="720"/>
        <w:jc w:val="both"/>
        <w:rPr>
          <w:rFonts w:ascii="Bookman Old Style" w:eastAsia="Bookman Old Style" w:hAnsi="Bookman Old Style" w:cs="Bookman Old Style"/>
          <w:color w:val="000000"/>
          <w:sz w:val="22"/>
          <w:szCs w:val="22"/>
        </w:rPr>
      </w:pPr>
    </w:p>
    <w:p w:rsidR="00506B2D" w:rsidRDefault="008C5B26">
      <w:pPr>
        <w:pBdr>
          <w:top w:val="nil"/>
          <w:left w:val="nil"/>
          <w:bottom w:val="nil"/>
          <w:right w:val="nil"/>
          <w:between w:val="nil"/>
        </w:pBdr>
        <w:ind w:left="720" w:hanging="720"/>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Congreso de la República (2002). Ley 793 de 2002 “Por la cual se deroga la Ley 333 de 1996 y se establecen las reglas que gobiernan la extinción de dominio”. Bogotá</w:t>
      </w:r>
    </w:p>
    <w:p w:rsidR="00506B2D" w:rsidRDefault="00506B2D">
      <w:pPr>
        <w:pBdr>
          <w:top w:val="nil"/>
          <w:left w:val="nil"/>
          <w:bottom w:val="nil"/>
          <w:right w:val="nil"/>
          <w:between w:val="nil"/>
        </w:pBdr>
        <w:ind w:left="720" w:hanging="720"/>
        <w:jc w:val="both"/>
        <w:rPr>
          <w:rFonts w:ascii="Bookman Old Style" w:eastAsia="Bookman Old Style" w:hAnsi="Bookman Old Style" w:cs="Bookman Old Style"/>
          <w:color w:val="000000"/>
          <w:sz w:val="22"/>
          <w:szCs w:val="22"/>
        </w:rPr>
      </w:pPr>
    </w:p>
    <w:p w:rsidR="00506B2D" w:rsidRDefault="008C5B26">
      <w:pPr>
        <w:pBdr>
          <w:top w:val="nil"/>
          <w:left w:val="nil"/>
          <w:bottom w:val="nil"/>
          <w:right w:val="nil"/>
          <w:between w:val="nil"/>
        </w:pBdr>
        <w:ind w:left="720" w:hanging="720"/>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Congreso de la Repúblic</w:t>
      </w:r>
      <w:r>
        <w:rPr>
          <w:rFonts w:ascii="Bookman Old Style" w:eastAsia="Bookman Old Style" w:hAnsi="Bookman Old Style" w:cs="Bookman Old Style"/>
          <w:color w:val="000000"/>
          <w:sz w:val="22"/>
          <w:szCs w:val="22"/>
        </w:rPr>
        <w:t>a (2014).  Ley 1708 de 2014 “Por medio de la cual se expide el Código de Extinción de Dominio”. Bogotá</w:t>
      </w:r>
    </w:p>
    <w:p w:rsidR="00506B2D" w:rsidRDefault="00506B2D">
      <w:pPr>
        <w:pBdr>
          <w:top w:val="nil"/>
          <w:left w:val="nil"/>
          <w:bottom w:val="nil"/>
          <w:right w:val="nil"/>
          <w:between w:val="nil"/>
        </w:pBdr>
        <w:ind w:left="720" w:hanging="720"/>
        <w:jc w:val="both"/>
        <w:rPr>
          <w:rFonts w:ascii="Bookman Old Style" w:eastAsia="Bookman Old Style" w:hAnsi="Bookman Old Style" w:cs="Bookman Old Style"/>
          <w:color w:val="000000"/>
          <w:sz w:val="22"/>
          <w:szCs w:val="22"/>
        </w:rPr>
      </w:pPr>
    </w:p>
    <w:p w:rsidR="00506B2D" w:rsidRDefault="008C5B26">
      <w:pPr>
        <w:pBdr>
          <w:top w:val="nil"/>
          <w:left w:val="nil"/>
          <w:bottom w:val="nil"/>
          <w:right w:val="nil"/>
          <w:between w:val="nil"/>
        </w:pBdr>
        <w:ind w:left="720" w:hanging="720"/>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Congreso de la República (2017). Ley 1849 de 2017 “Por medio de la cual se modifica y adiciona la Ley 1708 de 2014 “Código de Extinción de Dominio” y se</w:t>
      </w:r>
      <w:r>
        <w:rPr>
          <w:rFonts w:ascii="Bookman Old Style" w:eastAsia="Bookman Old Style" w:hAnsi="Bookman Old Style" w:cs="Bookman Old Style"/>
          <w:color w:val="000000"/>
          <w:sz w:val="22"/>
          <w:szCs w:val="22"/>
        </w:rPr>
        <w:t xml:space="preserve"> dictan otras disposiciones”. Bogotá</w:t>
      </w:r>
    </w:p>
    <w:p w:rsidR="00506B2D" w:rsidRDefault="00506B2D">
      <w:pPr>
        <w:pBdr>
          <w:top w:val="nil"/>
          <w:left w:val="nil"/>
          <w:bottom w:val="nil"/>
          <w:right w:val="nil"/>
          <w:between w:val="nil"/>
        </w:pBdr>
        <w:ind w:left="720" w:hanging="720"/>
        <w:jc w:val="both"/>
        <w:rPr>
          <w:rFonts w:ascii="Bookman Old Style" w:eastAsia="Bookman Old Style" w:hAnsi="Bookman Old Style" w:cs="Bookman Old Style"/>
          <w:color w:val="000000"/>
          <w:sz w:val="22"/>
          <w:szCs w:val="22"/>
        </w:rPr>
      </w:pPr>
    </w:p>
    <w:p w:rsidR="00506B2D" w:rsidRDefault="008C5B26">
      <w:pPr>
        <w:pBdr>
          <w:top w:val="nil"/>
          <w:left w:val="nil"/>
          <w:bottom w:val="nil"/>
          <w:right w:val="nil"/>
          <w:between w:val="nil"/>
        </w:pBdr>
        <w:ind w:left="720" w:hanging="720"/>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Corte Constitucional Sentencia C-673 del 2001. M.P Cepeda, Manuel José</w:t>
      </w:r>
    </w:p>
    <w:p w:rsidR="00506B2D" w:rsidRDefault="00506B2D">
      <w:pPr>
        <w:pBdr>
          <w:top w:val="nil"/>
          <w:left w:val="nil"/>
          <w:bottom w:val="nil"/>
          <w:right w:val="nil"/>
          <w:between w:val="nil"/>
        </w:pBdr>
        <w:jc w:val="both"/>
        <w:rPr>
          <w:rFonts w:ascii="Bookman Old Style" w:eastAsia="Bookman Old Style" w:hAnsi="Bookman Old Style" w:cs="Bookman Old Style"/>
          <w:color w:val="000000"/>
          <w:sz w:val="22"/>
          <w:szCs w:val="22"/>
        </w:rPr>
      </w:pPr>
    </w:p>
    <w:p w:rsidR="00506B2D" w:rsidRDefault="008C5B26">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Corte Constitucional Sentencia C-958 del 2014. M.P Sáchica Méndez, Martha. </w:t>
      </w:r>
    </w:p>
    <w:p w:rsidR="00506B2D" w:rsidRDefault="00506B2D">
      <w:pPr>
        <w:pBdr>
          <w:top w:val="nil"/>
          <w:left w:val="nil"/>
          <w:bottom w:val="nil"/>
          <w:right w:val="nil"/>
          <w:between w:val="nil"/>
        </w:pBdr>
        <w:ind w:left="720" w:hanging="720"/>
        <w:jc w:val="both"/>
        <w:rPr>
          <w:rFonts w:ascii="Bookman Old Style" w:eastAsia="Bookman Old Style" w:hAnsi="Bookman Old Style" w:cs="Bookman Old Style"/>
          <w:color w:val="000000"/>
          <w:sz w:val="22"/>
          <w:szCs w:val="22"/>
        </w:rPr>
      </w:pPr>
    </w:p>
    <w:p w:rsidR="00506B2D" w:rsidRDefault="008C5B26">
      <w:pPr>
        <w:pBdr>
          <w:top w:val="nil"/>
          <w:left w:val="nil"/>
          <w:bottom w:val="nil"/>
          <w:right w:val="nil"/>
          <w:between w:val="nil"/>
        </w:pBdr>
        <w:ind w:left="709" w:hanging="720"/>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García Villegas, Mauricio Espinosa Restrepo, José Rafael Jiménez Ángel, Felipe (2013). </w:t>
      </w:r>
      <w:r>
        <w:rPr>
          <w:rFonts w:ascii="Bookman Old Style" w:eastAsia="Bookman Old Style" w:hAnsi="Bookman Old Style" w:cs="Bookman Old Style"/>
          <w:color w:val="000000"/>
          <w:sz w:val="22"/>
          <w:szCs w:val="22"/>
        </w:rPr>
        <w:tab/>
        <w:t>Instituciones y Narcotráfico: la geografía judicial de los delitos de drogas en Colombia</w:t>
      </w:r>
    </w:p>
    <w:p w:rsidR="00506B2D" w:rsidRDefault="008C5B26">
      <w:pPr>
        <w:pBdr>
          <w:top w:val="nil"/>
          <w:left w:val="nil"/>
          <w:bottom w:val="nil"/>
          <w:right w:val="nil"/>
          <w:between w:val="nil"/>
        </w:pBdr>
        <w:ind w:left="720" w:hanging="720"/>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sz w:val="22"/>
          <w:szCs w:val="22"/>
        </w:rPr>
        <w:t>Insignares-Cera, S. &amp;. -H. (2012). Juicio integrado de constitucionalidad: anál</w:t>
      </w:r>
      <w:r>
        <w:rPr>
          <w:rFonts w:ascii="Bookman Old Style" w:eastAsia="Bookman Old Style" w:hAnsi="Bookman Old Style" w:cs="Bookman Old Style"/>
          <w:sz w:val="22"/>
          <w:szCs w:val="22"/>
        </w:rPr>
        <w:t xml:space="preserve">isis de la metodología utilizada por la corte constitucional. </w:t>
      </w:r>
      <w:r>
        <w:rPr>
          <w:rFonts w:ascii="Bookman Old Style" w:eastAsia="Bookman Old Style" w:hAnsi="Bookman Old Style" w:cs="Bookman Old Style"/>
          <w:i/>
          <w:sz w:val="22"/>
          <w:szCs w:val="22"/>
        </w:rPr>
        <w:t>Vniversitas</w:t>
      </w:r>
      <w:r>
        <w:rPr>
          <w:rFonts w:ascii="Bookman Old Style" w:eastAsia="Bookman Old Style" w:hAnsi="Bookman Old Style" w:cs="Bookman Old Style"/>
          <w:sz w:val="22"/>
          <w:szCs w:val="22"/>
        </w:rPr>
        <w:t>, 91-118.</w:t>
      </w:r>
    </w:p>
    <w:p w:rsidR="00506B2D" w:rsidRDefault="00506B2D">
      <w:pPr>
        <w:jc w:val="both"/>
        <w:rPr>
          <w:rFonts w:ascii="Bookman Old Style" w:eastAsia="Bookman Old Style" w:hAnsi="Bookman Old Style" w:cs="Bookman Old Style"/>
          <w:sz w:val="22"/>
          <w:szCs w:val="22"/>
        </w:rPr>
      </w:pPr>
    </w:p>
    <w:p w:rsidR="00506B2D" w:rsidRDefault="008C5B26">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Instituto Nacional de Medicina Legal y Ciencias Forenses (2018) Forensis 2018 datos para la vida.</w:t>
      </w:r>
    </w:p>
    <w:p w:rsidR="00506B2D" w:rsidRDefault="00506B2D">
      <w:pPr>
        <w:pBdr>
          <w:top w:val="nil"/>
          <w:left w:val="nil"/>
          <w:bottom w:val="nil"/>
          <w:right w:val="nil"/>
          <w:between w:val="nil"/>
        </w:pBdr>
        <w:jc w:val="both"/>
        <w:rPr>
          <w:rFonts w:ascii="Bookman Old Style" w:eastAsia="Bookman Old Style" w:hAnsi="Bookman Old Style" w:cs="Bookman Old Style"/>
          <w:color w:val="000000"/>
          <w:sz w:val="22"/>
          <w:szCs w:val="22"/>
        </w:rPr>
      </w:pPr>
    </w:p>
    <w:p w:rsidR="00506B2D" w:rsidRDefault="008C5B26">
      <w:pPr>
        <w:pBdr>
          <w:top w:val="nil"/>
          <w:left w:val="nil"/>
          <w:bottom w:val="nil"/>
          <w:right w:val="nil"/>
          <w:between w:val="nil"/>
        </w:pBdr>
        <w:ind w:left="720" w:hanging="720"/>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Müller Creel, O. (2011). Extinción de dominio en la legislación mexicana: su justificación jurídico-valorativa. Criterio Jurídico, 9. </w:t>
      </w:r>
      <w:r>
        <w:rPr>
          <w:rFonts w:ascii="Bookman Old Style" w:eastAsia="Bookman Old Style" w:hAnsi="Bookman Old Style" w:cs="Bookman Old Style"/>
          <w:color w:val="000000"/>
          <w:sz w:val="22"/>
          <w:szCs w:val="22"/>
        </w:rPr>
        <w:tab/>
      </w:r>
    </w:p>
    <w:p w:rsidR="00506B2D" w:rsidRDefault="00506B2D">
      <w:pPr>
        <w:pBdr>
          <w:top w:val="nil"/>
          <w:left w:val="nil"/>
          <w:bottom w:val="nil"/>
          <w:right w:val="nil"/>
          <w:between w:val="nil"/>
        </w:pBdr>
        <w:ind w:left="720" w:hanging="720"/>
        <w:jc w:val="both"/>
        <w:rPr>
          <w:rFonts w:ascii="Bookman Old Style" w:eastAsia="Bookman Old Style" w:hAnsi="Bookman Old Style" w:cs="Bookman Old Style"/>
          <w:color w:val="000000"/>
          <w:sz w:val="22"/>
          <w:szCs w:val="22"/>
        </w:rPr>
      </w:pPr>
    </w:p>
    <w:p w:rsidR="00506B2D" w:rsidRDefault="008C5B26">
      <w:pPr>
        <w:pBdr>
          <w:top w:val="nil"/>
          <w:left w:val="nil"/>
          <w:bottom w:val="nil"/>
          <w:right w:val="nil"/>
          <w:between w:val="nil"/>
        </w:pBdr>
        <w:ind w:left="720" w:hanging="720"/>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Presidencia de la República (1971). Decreto 409 de 1971 “Por el cual se introducen reformas al Código de Procedimiento Penal y se codifican todas sus normas”. Bogotá</w:t>
      </w:r>
    </w:p>
    <w:p w:rsidR="00506B2D" w:rsidRDefault="00506B2D">
      <w:pPr>
        <w:pBdr>
          <w:top w:val="nil"/>
          <w:left w:val="nil"/>
          <w:bottom w:val="nil"/>
          <w:right w:val="nil"/>
          <w:between w:val="nil"/>
        </w:pBdr>
        <w:ind w:left="720" w:hanging="720"/>
        <w:jc w:val="both"/>
        <w:rPr>
          <w:rFonts w:ascii="Bookman Old Style" w:eastAsia="Bookman Old Style" w:hAnsi="Bookman Old Style" w:cs="Bookman Old Style"/>
          <w:color w:val="000000"/>
          <w:sz w:val="22"/>
          <w:szCs w:val="22"/>
        </w:rPr>
      </w:pPr>
    </w:p>
    <w:p w:rsidR="00506B2D" w:rsidRDefault="008C5B26">
      <w:pPr>
        <w:pBdr>
          <w:top w:val="nil"/>
          <w:left w:val="nil"/>
          <w:bottom w:val="nil"/>
          <w:right w:val="nil"/>
          <w:between w:val="nil"/>
        </w:pBdr>
        <w:ind w:left="720" w:hanging="720"/>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Presidencia de la República (2015). Decreto 1068 de 2015 “por medio del cual se expide el</w:t>
      </w:r>
      <w:r>
        <w:rPr>
          <w:rFonts w:ascii="Bookman Old Style" w:eastAsia="Bookman Old Style" w:hAnsi="Bookman Old Style" w:cs="Bookman Old Style"/>
          <w:color w:val="000000"/>
          <w:sz w:val="22"/>
          <w:szCs w:val="22"/>
        </w:rPr>
        <w:t xml:space="preserve"> Decreto Único Reglamentario del Sector Hacienda y Crédito Público.”. Bogotá</w:t>
      </w:r>
    </w:p>
    <w:p w:rsidR="00506B2D" w:rsidRDefault="00506B2D">
      <w:pPr>
        <w:pBdr>
          <w:top w:val="nil"/>
          <w:left w:val="nil"/>
          <w:bottom w:val="nil"/>
          <w:right w:val="nil"/>
          <w:between w:val="nil"/>
        </w:pBdr>
        <w:ind w:left="720" w:hanging="720"/>
        <w:jc w:val="both"/>
        <w:rPr>
          <w:rFonts w:ascii="Bookman Old Style" w:eastAsia="Bookman Old Style" w:hAnsi="Bookman Old Style" w:cs="Bookman Old Style"/>
          <w:color w:val="000000"/>
          <w:sz w:val="22"/>
          <w:szCs w:val="22"/>
        </w:rPr>
      </w:pPr>
    </w:p>
    <w:p w:rsidR="00506B2D" w:rsidRDefault="008C5B26">
      <w:pPr>
        <w:pBdr>
          <w:top w:val="nil"/>
          <w:left w:val="nil"/>
          <w:bottom w:val="nil"/>
          <w:right w:val="nil"/>
          <w:between w:val="nil"/>
        </w:pBdr>
        <w:ind w:left="720" w:hanging="720"/>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Sociedad de Activos Especiales (2020). Respuesta a Derecho de petición UTL JFRK. Bogotá.</w:t>
      </w:r>
    </w:p>
    <w:p w:rsidR="00506B2D" w:rsidRDefault="00506B2D">
      <w:pPr>
        <w:pBdr>
          <w:top w:val="nil"/>
          <w:left w:val="nil"/>
          <w:bottom w:val="nil"/>
          <w:right w:val="nil"/>
          <w:between w:val="nil"/>
        </w:pBdr>
        <w:ind w:left="720" w:hanging="720"/>
        <w:jc w:val="both"/>
        <w:rPr>
          <w:rFonts w:ascii="Bookman Old Style" w:eastAsia="Bookman Old Style" w:hAnsi="Bookman Old Style" w:cs="Bookman Old Style"/>
          <w:color w:val="000000"/>
          <w:sz w:val="22"/>
          <w:szCs w:val="22"/>
        </w:rPr>
      </w:pPr>
    </w:p>
    <w:p w:rsidR="00506B2D" w:rsidRDefault="008C5B26">
      <w:pPr>
        <w:pBdr>
          <w:top w:val="nil"/>
          <w:left w:val="nil"/>
          <w:bottom w:val="nil"/>
          <w:right w:val="nil"/>
          <w:between w:val="nil"/>
        </w:pBdr>
        <w:ind w:left="720" w:hanging="720"/>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Tobar, J. (2014). Aproximación general a la acción de extinción del dominio en Colombia.</w:t>
      </w:r>
      <w:r>
        <w:rPr>
          <w:rFonts w:ascii="Bookman Old Style" w:eastAsia="Bookman Old Style" w:hAnsi="Bookman Old Style" w:cs="Bookman Old Style"/>
          <w:color w:val="000000"/>
          <w:sz w:val="22"/>
          <w:szCs w:val="22"/>
        </w:rPr>
        <w:t xml:space="preserve"> Revista Civilizar Ciencias Sociales y Humanas, 14(26), 17-38.</w:t>
      </w:r>
    </w:p>
    <w:p w:rsidR="00506B2D" w:rsidRDefault="00506B2D">
      <w:pPr>
        <w:jc w:val="both"/>
        <w:rPr>
          <w:rFonts w:ascii="Bookman Old Style" w:eastAsia="Bookman Old Style" w:hAnsi="Bookman Old Style" w:cs="Bookman Old Style"/>
          <w:sz w:val="22"/>
          <w:szCs w:val="22"/>
        </w:rPr>
      </w:pPr>
    </w:p>
    <w:p w:rsidR="00506B2D" w:rsidRDefault="008C5B26">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Velásquez Jaramillo, L. (2014). </w:t>
      </w:r>
      <w:r>
        <w:rPr>
          <w:rFonts w:ascii="Bookman Old Style" w:eastAsia="Bookman Old Style" w:hAnsi="Bookman Old Style" w:cs="Bookman Old Style"/>
          <w:i/>
          <w:sz w:val="22"/>
          <w:szCs w:val="22"/>
        </w:rPr>
        <w:t>Bienes,</w:t>
      </w:r>
      <w:r>
        <w:rPr>
          <w:rFonts w:ascii="Bookman Old Style" w:eastAsia="Bookman Old Style" w:hAnsi="Bookman Old Style" w:cs="Bookman Old Style"/>
          <w:sz w:val="22"/>
          <w:szCs w:val="22"/>
        </w:rPr>
        <w:t xml:space="preserve"> Editorial Temis, 2014, pág. 206-202. </w:t>
      </w:r>
    </w:p>
    <w:p w:rsidR="00506B2D" w:rsidRDefault="00506B2D">
      <w:pPr>
        <w:rPr>
          <w:rFonts w:ascii="Bookman Old Style" w:eastAsia="Bookman Old Style" w:hAnsi="Bookman Old Style" w:cs="Bookman Old Style"/>
          <w:sz w:val="22"/>
          <w:szCs w:val="22"/>
        </w:rPr>
      </w:pPr>
    </w:p>
    <w:sectPr w:rsidR="00506B2D">
      <w:headerReference w:type="default" r:id="rId11"/>
      <w:footerReference w:type="even" r:id="rId12"/>
      <w:footerReference w:type="default" r:id="rId13"/>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5B26" w:rsidRDefault="008C5B26">
      <w:r>
        <w:separator/>
      </w:r>
    </w:p>
  </w:endnote>
  <w:endnote w:type="continuationSeparator" w:id="0">
    <w:p w:rsidR="008C5B26" w:rsidRDefault="008C5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charset w:val="00"/>
    <w:family w:val="auto"/>
    <w:pitch w:val="default"/>
  </w:font>
  <w:font w:name="Georgia">
    <w:panose1 w:val="02040502050405020303"/>
    <w:charset w:val="00"/>
    <w:family w:val="auto"/>
    <w:pitch w:val="default"/>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B2D" w:rsidRDefault="008C5B26">
    <w:pPr>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Pr>
        <w:color w:val="000000"/>
      </w:rPr>
      <w:fldChar w:fldCharType="end"/>
    </w:r>
  </w:p>
  <w:p w:rsidR="00506B2D" w:rsidRDefault="00506B2D">
    <w:pPr>
      <w:pBdr>
        <w:top w:val="nil"/>
        <w:left w:val="nil"/>
        <w:bottom w:val="nil"/>
        <w:right w:val="nil"/>
        <w:between w:val="nil"/>
      </w:pBdr>
      <w:tabs>
        <w:tab w:val="center" w:pos="4419"/>
        <w:tab w:val="right" w:pos="8838"/>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B2D" w:rsidRDefault="008C5B26">
    <w:pPr>
      <w:widowControl w:val="0"/>
      <w:pBdr>
        <w:top w:val="nil"/>
        <w:left w:val="nil"/>
        <w:bottom w:val="nil"/>
        <w:right w:val="nil"/>
        <w:between w:val="nil"/>
      </w:pBdr>
      <w:tabs>
        <w:tab w:val="center" w:pos="4419"/>
        <w:tab w:val="right" w:pos="8838"/>
      </w:tabs>
      <w:jc w:val="right"/>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 xml:space="preserve">                  Página </w:t>
    </w:r>
    <w:r>
      <w:rPr>
        <w:rFonts w:ascii="Bookman Old Style" w:eastAsia="Bookman Old Style" w:hAnsi="Bookman Old Style" w:cs="Bookman Old Style"/>
        <w:b/>
        <w:color w:val="000000"/>
        <w:sz w:val="20"/>
        <w:szCs w:val="20"/>
      </w:rPr>
      <w:fldChar w:fldCharType="begin"/>
    </w:r>
    <w:r>
      <w:rPr>
        <w:rFonts w:ascii="Bookman Old Style" w:eastAsia="Bookman Old Style" w:hAnsi="Bookman Old Style" w:cs="Bookman Old Style"/>
        <w:b/>
        <w:color w:val="000000"/>
        <w:sz w:val="20"/>
        <w:szCs w:val="20"/>
      </w:rPr>
      <w:instrText>PAGE</w:instrText>
    </w:r>
    <w:r w:rsidR="007A428A">
      <w:rPr>
        <w:rFonts w:ascii="Bookman Old Style" w:eastAsia="Bookman Old Style" w:hAnsi="Bookman Old Style" w:cs="Bookman Old Style"/>
        <w:b/>
        <w:color w:val="000000"/>
        <w:sz w:val="20"/>
        <w:szCs w:val="20"/>
      </w:rPr>
      <w:fldChar w:fldCharType="separate"/>
    </w:r>
    <w:r w:rsidR="007A428A">
      <w:rPr>
        <w:rFonts w:ascii="Bookman Old Style" w:eastAsia="Bookman Old Style" w:hAnsi="Bookman Old Style" w:cs="Bookman Old Style"/>
        <w:b/>
        <w:noProof/>
        <w:color w:val="000000"/>
        <w:sz w:val="20"/>
        <w:szCs w:val="20"/>
      </w:rPr>
      <w:t>2</w:t>
    </w:r>
    <w:r>
      <w:rPr>
        <w:rFonts w:ascii="Bookman Old Style" w:eastAsia="Bookman Old Style" w:hAnsi="Bookman Old Style" w:cs="Bookman Old Style"/>
        <w:b/>
        <w:color w:val="000000"/>
        <w:sz w:val="20"/>
        <w:szCs w:val="20"/>
      </w:rPr>
      <w:fldChar w:fldCharType="end"/>
    </w:r>
    <w:r>
      <w:rPr>
        <w:rFonts w:ascii="Bookman Old Style" w:eastAsia="Bookman Old Style" w:hAnsi="Bookman Old Style" w:cs="Bookman Old Style"/>
        <w:color w:val="000000"/>
        <w:sz w:val="20"/>
        <w:szCs w:val="20"/>
      </w:rPr>
      <w:t xml:space="preserve"> de </w:t>
    </w:r>
    <w:r>
      <w:rPr>
        <w:rFonts w:ascii="Bookman Old Style" w:eastAsia="Bookman Old Style" w:hAnsi="Bookman Old Style" w:cs="Bookman Old Style"/>
        <w:b/>
        <w:color w:val="000000"/>
        <w:sz w:val="20"/>
        <w:szCs w:val="20"/>
      </w:rPr>
      <w:fldChar w:fldCharType="begin"/>
    </w:r>
    <w:r>
      <w:rPr>
        <w:rFonts w:ascii="Bookman Old Style" w:eastAsia="Bookman Old Style" w:hAnsi="Bookman Old Style" w:cs="Bookman Old Style"/>
        <w:b/>
        <w:color w:val="000000"/>
        <w:sz w:val="20"/>
        <w:szCs w:val="20"/>
      </w:rPr>
      <w:instrText>NUMPAGES</w:instrText>
    </w:r>
    <w:r w:rsidR="007A428A">
      <w:rPr>
        <w:rFonts w:ascii="Bookman Old Style" w:eastAsia="Bookman Old Style" w:hAnsi="Bookman Old Style" w:cs="Bookman Old Style"/>
        <w:b/>
        <w:color w:val="000000"/>
        <w:sz w:val="20"/>
        <w:szCs w:val="20"/>
      </w:rPr>
      <w:fldChar w:fldCharType="separate"/>
    </w:r>
    <w:r w:rsidR="007A428A">
      <w:rPr>
        <w:rFonts w:ascii="Bookman Old Style" w:eastAsia="Bookman Old Style" w:hAnsi="Bookman Old Style" w:cs="Bookman Old Style"/>
        <w:b/>
        <w:noProof/>
        <w:color w:val="000000"/>
        <w:sz w:val="20"/>
        <w:szCs w:val="20"/>
      </w:rPr>
      <w:t>13</w:t>
    </w:r>
    <w:r>
      <w:rPr>
        <w:rFonts w:ascii="Bookman Old Style" w:eastAsia="Bookman Old Style" w:hAnsi="Bookman Old Style" w:cs="Bookman Old Style"/>
        <w:b/>
        <w:color w:val="000000"/>
        <w:sz w:val="20"/>
        <w:szCs w:val="20"/>
      </w:rPr>
      <w:fldChar w:fldCharType="end"/>
    </w:r>
  </w:p>
  <w:p w:rsidR="00506B2D" w:rsidRDefault="00506B2D">
    <w:pPr>
      <w:tabs>
        <w:tab w:val="right" w:pos="8838"/>
      </w:tabs>
      <w:spacing w:line="276" w:lineRule="auto"/>
      <w:jc w:val="center"/>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5B26" w:rsidRDefault="008C5B26">
      <w:r>
        <w:separator/>
      </w:r>
    </w:p>
  </w:footnote>
  <w:footnote w:type="continuationSeparator" w:id="0">
    <w:p w:rsidR="008C5B26" w:rsidRDefault="008C5B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B2D" w:rsidRDefault="008C5B26">
    <w:pPr>
      <w:pBdr>
        <w:top w:val="nil"/>
        <w:left w:val="nil"/>
        <w:bottom w:val="nil"/>
        <w:right w:val="nil"/>
        <w:between w:val="nil"/>
      </w:pBdr>
      <w:tabs>
        <w:tab w:val="center" w:pos="4419"/>
        <w:tab w:val="right" w:pos="8838"/>
      </w:tabs>
      <w:jc w:val="center"/>
      <w:rPr>
        <w:color w:val="000000"/>
      </w:rPr>
    </w:pPr>
    <w:r>
      <w:rPr>
        <w:noProof/>
        <w:lang w:eastAsia="es-CO"/>
      </w:rPr>
      <w:drawing>
        <wp:inline distT="114300" distB="114300" distL="114300" distR="114300">
          <wp:extent cx="2019300" cy="600075"/>
          <wp:effectExtent l="0" t="0" r="0" b="0"/>
          <wp:docPr id="111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019300" cy="600075"/>
                  </a:xfrm>
                  <a:prstGeom prst="rect">
                    <a:avLst/>
                  </a:prstGeom>
                  <a:ln/>
                </pic:spPr>
              </pic:pic>
            </a:graphicData>
          </a:graphic>
        </wp:inline>
      </w:drawing>
    </w:r>
  </w:p>
  <w:p w:rsidR="00506B2D" w:rsidRDefault="00506B2D">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026E39"/>
    <w:multiLevelType w:val="multilevel"/>
    <w:tmpl w:val="8652889C"/>
    <w:lvl w:ilvl="0">
      <w:start w:val="1"/>
      <w:numFmt w:val="decimal"/>
      <w:lvlText w:val="%1."/>
      <w:lvlJc w:val="left"/>
      <w:pPr>
        <w:ind w:left="218" w:hanging="360"/>
      </w:pPr>
      <w:rPr>
        <w:b/>
      </w:rPr>
    </w:lvl>
    <w:lvl w:ilvl="1">
      <w:start w:val="1"/>
      <w:numFmt w:val="lowerLetter"/>
      <w:lvlText w:val="%2."/>
      <w:lvlJc w:val="left"/>
      <w:pPr>
        <w:ind w:left="938" w:hanging="360"/>
      </w:pPr>
    </w:lvl>
    <w:lvl w:ilvl="2">
      <w:start w:val="1"/>
      <w:numFmt w:val="lowerRoman"/>
      <w:lvlText w:val="%3."/>
      <w:lvlJc w:val="right"/>
      <w:pPr>
        <w:ind w:left="1658" w:hanging="180"/>
      </w:pPr>
    </w:lvl>
    <w:lvl w:ilvl="3">
      <w:start w:val="1"/>
      <w:numFmt w:val="decimal"/>
      <w:lvlText w:val="%4."/>
      <w:lvlJc w:val="left"/>
      <w:pPr>
        <w:ind w:left="2378" w:hanging="360"/>
      </w:pPr>
    </w:lvl>
    <w:lvl w:ilvl="4">
      <w:start w:val="1"/>
      <w:numFmt w:val="lowerLetter"/>
      <w:lvlText w:val="%5."/>
      <w:lvlJc w:val="left"/>
      <w:pPr>
        <w:ind w:left="3098" w:hanging="360"/>
      </w:pPr>
    </w:lvl>
    <w:lvl w:ilvl="5">
      <w:start w:val="1"/>
      <w:numFmt w:val="lowerRoman"/>
      <w:lvlText w:val="%6."/>
      <w:lvlJc w:val="right"/>
      <w:pPr>
        <w:ind w:left="3818" w:hanging="180"/>
      </w:pPr>
    </w:lvl>
    <w:lvl w:ilvl="6">
      <w:start w:val="1"/>
      <w:numFmt w:val="decimal"/>
      <w:lvlText w:val="%7."/>
      <w:lvlJc w:val="left"/>
      <w:pPr>
        <w:ind w:left="4538" w:hanging="360"/>
      </w:pPr>
    </w:lvl>
    <w:lvl w:ilvl="7">
      <w:start w:val="1"/>
      <w:numFmt w:val="lowerLetter"/>
      <w:lvlText w:val="%8."/>
      <w:lvlJc w:val="left"/>
      <w:pPr>
        <w:ind w:left="5258" w:hanging="360"/>
      </w:pPr>
    </w:lvl>
    <w:lvl w:ilvl="8">
      <w:start w:val="1"/>
      <w:numFmt w:val="lowerRoman"/>
      <w:lvlText w:val="%9."/>
      <w:lvlJc w:val="right"/>
      <w:pPr>
        <w:ind w:left="5978" w:hanging="180"/>
      </w:pPr>
    </w:lvl>
  </w:abstractNum>
  <w:abstractNum w:abstractNumId="1">
    <w:nsid w:val="237A2965"/>
    <w:multiLevelType w:val="multilevel"/>
    <w:tmpl w:val="6294268E"/>
    <w:lvl w:ilvl="0">
      <w:start w:val="4"/>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37B7355C"/>
    <w:multiLevelType w:val="multilevel"/>
    <w:tmpl w:val="99609D04"/>
    <w:lvl w:ilvl="0">
      <w:start w:val="1"/>
      <w:numFmt w:val="decimal"/>
      <w:lvlText w:val="%1."/>
      <w:lvlJc w:val="left"/>
      <w:pPr>
        <w:ind w:left="720" w:hanging="360"/>
      </w:pPr>
    </w:lvl>
    <w:lvl w:ilvl="1">
      <w:start w:val="1"/>
      <w:numFmt w:val="decimal"/>
      <w:lvlText w:val="%1.%2"/>
      <w:lvlJc w:val="left"/>
      <w:pPr>
        <w:ind w:left="1002" w:hanging="435"/>
      </w:pPr>
    </w:lvl>
    <w:lvl w:ilvl="2">
      <w:start w:val="1"/>
      <w:numFmt w:val="decimal"/>
      <w:lvlText w:val="%1.%2.%3"/>
      <w:lvlJc w:val="left"/>
      <w:pPr>
        <w:ind w:left="1494" w:hanging="720"/>
      </w:pPr>
    </w:lvl>
    <w:lvl w:ilvl="3">
      <w:start w:val="1"/>
      <w:numFmt w:val="decimal"/>
      <w:lvlText w:val="%1.%2.%3.%4"/>
      <w:lvlJc w:val="left"/>
      <w:pPr>
        <w:ind w:left="2061" w:hanging="1080"/>
      </w:pPr>
    </w:lvl>
    <w:lvl w:ilvl="4">
      <w:start w:val="1"/>
      <w:numFmt w:val="decimal"/>
      <w:lvlText w:val="%1.%2.%3.%4.%5"/>
      <w:lvlJc w:val="left"/>
      <w:pPr>
        <w:ind w:left="2268" w:hanging="1080"/>
      </w:pPr>
    </w:lvl>
    <w:lvl w:ilvl="5">
      <w:start w:val="1"/>
      <w:numFmt w:val="decimal"/>
      <w:lvlText w:val="%1.%2.%3.%4.%5.%6"/>
      <w:lvlJc w:val="left"/>
      <w:pPr>
        <w:ind w:left="2835" w:hanging="1440"/>
      </w:pPr>
    </w:lvl>
    <w:lvl w:ilvl="6">
      <w:start w:val="1"/>
      <w:numFmt w:val="decimal"/>
      <w:lvlText w:val="%1.%2.%3.%4.%5.%6.%7"/>
      <w:lvlJc w:val="left"/>
      <w:pPr>
        <w:ind w:left="3042" w:hanging="1440"/>
      </w:pPr>
    </w:lvl>
    <w:lvl w:ilvl="7">
      <w:start w:val="1"/>
      <w:numFmt w:val="decimal"/>
      <w:lvlText w:val="%1.%2.%3.%4.%5.%6.%7.%8"/>
      <w:lvlJc w:val="left"/>
      <w:pPr>
        <w:ind w:left="3609" w:hanging="1800"/>
      </w:pPr>
    </w:lvl>
    <w:lvl w:ilvl="8">
      <w:start w:val="1"/>
      <w:numFmt w:val="decimal"/>
      <w:lvlText w:val="%1.%2.%3.%4.%5.%6.%7.%8.%9"/>
      <w:lvlJc w:val="left"/>
      <w:pPr>
        <w:ind w:left="3816" w:hanging="1799"/>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B2D"/>
    <w:rsid w:val="00506B2D"/>
    <w:rsid w:val="007A428A"/>
    <w:rsid w:val="008C5B2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CC72F3-DBAA-4EC6-BF48-8F7CAE81E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40B3"/>
    <w:rPr>
      <w:lang w:eastAsia="es-ES_tradnl"/>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Prrafodelista">
    <w:name w:val="List Paragraph"/>
    <w:basedOn w:val="Normal"/>
    <w:uiPriority w:val="34"/>
    <w:qFormat/>
    <w:rsid w:val="003B40B3"/>
    <w:pPr>
      <w:ind w:left="720"/>
      <w:contextualSpacing/>
    </w:pPr>
  </w:style>
  <w:style w:type="paragraph" w:styleId="Encabezado">
    <w:name w:val="header"/>
    <w:basedOn w:val="Normal"/>
    <w:link w:val="EncabezadoCar"/>
    <w:uiPriority w:val="99"/>
    <w:unhideWhenUsed/>
    <w:rsid w:val="003B40B3"/>
    <w:pPr>
      <w:tabs>
        <w:tab w:val="center" w:pos="4419"/>
        <w:tab w:val="right" w:pos="8838"/>
      </w:tabs>
    </w:pPr>
  </w:style>
  <w:style w:type="character" w:customStyle="1" w:styleId="EncabezadoCar">
    <w:name w:val="Encabezado Car"/>
    <w:basedOn w:val="Fuentedeprrafopredeter"/>
    <w:link w:val="Encabezado"/>
    <w:uiPriority w:val="99"/>
    <w:rsid w:val="003B40B3"/>
    <w:rPr>
      <w:rFonts w:ascii="Times New Roman" w:eastAsia="Times New Roman" w:hAnsi="Times New Roman" w:cs="Times New Roman"/>
      <w:sz w:val="24"/>
      <w:szCs w:val="24"/>
      <w:lang w:eastAsia="es-ES_tradnl"/>
    </w:rPr>
  </w:style>
  <w:style w:type="paragraph" w:styleId="Piedepgina">
    <w:name w:val="footer"/>
    <w:basedOn w:val="Normal"/>
    <w:link w:val="PiedepginaCar"/>
    <w:uiPriority w:val="99"/>
    <w:unhideWhenUsed/>
    <w:rsid w:val="003B40B3"/>
    <w:pPr>
      <w:tabs>
        <w:tab w:val="center" w:pos="4419"/>
        <w:tab w:val="right" w:pos="8838"/>
      </w:tabs>
    </w:pPr>
  </w:style>
  <w:style w:type="character" w:customStyle="1" w:styleId="PiedepginaCar">
    <w:name w:val="Pie de página Car"/>
    <w:basedOn w:val="Fuentedeprrafopredeter"/>
    <w:link w:val="Piedepgina"/>
    <w:uiPriority w:val="99"/>
    <w:rsid w:val="003B40B3"/>
    <w:rPr>
      <w:rFonts w:ascii="Times New Roman" w:eastAsia="Times New Roman" w:hAnsi="Times New Roman" w:cs="Times New Roman"/>
      <w:sz w:val="24"/>
      <w:szCs w:val="24"/>
      <w:lang w:eastAsia="es-ES_tradnl"/>
    </w:rPr>
  </w:style>
  <w:style w:type="paragraph" w:styleId="NormalWeb">
    <w:name w:val="Normal (Web)"/>
    <w:basedOn w:val="Normal"/>
    <w:uiPriority w:val="99"/>
    <w:unhideWhenUsed/>
    <w:rsid w:val="0091484E"/>
    <w:pPr>
      <w:spacing w:before="100" w:beforeAutospacing="1" w:after="100" w:afterAutospacing="1"/>
    </w:pPr>
    <w:rPr>
      <w:lang w:eastAsia="es-CO"/>
    </w:rPr>
  </w:style>
  <w:style w:type="table" w:styleId="Tablaconcuadrcula">
    <w:name w:val="Table Grid"/>
    <w:basedOn w:val="Tablanormal"/>
    <w:uiPriority w:val="39"/>
    <w:rsid w:val="009148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 w:type="table" w:customStyle="1" w:styleId="a1">
    <w:basedOn w:val="TableNormal"/>
    <w:tblPr>
      <w:tblStyleRowBandSize w:val="1"/>
      <w:tblStyleColBandSize w:val="1"/>
      <w:tblCellMar>
        <w:top w:w="0" w:type="dxa"/>
        <w:left w:w="108" w:type="dxa"/>
        <w:bottom w:w="0" w:type="dxa"/>
        <w:right w:w="108" w:type="dxa"/>
      </w:tblCellMar>
    </w:tblPr>
  </w:style>
  <w:style w:type="table" w:customStyle="1" w:styleId="a2">
    <w:basedOn w:val="TableNormal"/>
    <w:tblPr>
      <w:tblStyleRowBandSize w:val="1"/>
      <w:tblStyleColBandSize w:val="1"/>
      <w:tblCellMar>
        <w:top w:w="0" w:type="dxa"/>
        <w:left w:w="115" w:type="dxa"/>
        <w:bottom w:w="0" w:type="dxa"/>
        <w:right w:w="115" w:type="dxa"/>
      </w:tblCellMar>
    </w:tblPr>
  </w:style>
  <w:style w:type="table" w:customStyle="1" w:styleId="a3">
    <w:basedOn w:val="TableNormal"/>
    <w:tblPr>
      <w:tblStyleRowBandSize w:val="1"/>
      <w:tblStyleColBandSize w:val="1"/>
      <w:tblCellMar>
        <w:top w:w="15" w:type="dxa"/>
        <w:left w:w="15" w:type="dxa"/>
        <w:bottom w:w="15" w:type="dxa"/>
        <w:right w:w="15" w:type="dxa"/>
      </w:tblCellMar>
    </w:tblPr>
  </w:style>
  <w:style w:type="table" w:customStyle="1" w:styleId="a4">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Gg1/djw8N10iCEoWR1MTPOXjEOQ==">AMUW2mW8NyuvqTsa8rr6fOaWs6CDwB+2YmDQb9PIzsrFgAJoa5uZa0WWp53sprPNdPGJvGeAwFxP/3fvEiZFSs4vIsCqFqz8dR85026RRxkYE7UaV7cNCvw=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8405</Words>
  <Characters>46232</Characters>
  <Application>Microsoft Office Word</Application>
  <DocSecurity>0</DocSecurity>
  <Lines>385</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Armando León Acuña</dc:creator>
  <cp:lastModifiedBy>German Roberto Mesias Gamez</cp:lastModifiedBy>
  <cp:revision>3</cp:revision>
  <dcterms:created xsi:type="dcterms:W3CDTF">2021-08-10T22:37:00Z</dcterms:created>
  <dcterms:modified xsi:type="dcterms:W3CDTF">2021-08-10T22:37:00Z</dcterms:modified>
</cp:coreProperties>
</file>